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4830D3">
      <w:pPr>
        <w:jc w:val="center"/>
        <w:rPr>
          <w:rFonts w:ascii="黑体" w:eastAsia="黑体" w:hAnsi="黑体" w:cs="黑体"/>
          <w:sz w:val="52"/>
          <w:szCs w:val="52"/>
        </w:rPr>
      </w:pPr>
      <w:bookmarkStart w:id="0" w:name="_GoBack"/>
      <w:r>
        <w:rPr>
          <w:rFonts w:ascii="黑体" w:eastAsia="黑体" w:hAnsi="黑体" w:cs="黑体" w:hint="eastAsia"/>
          <w:sz w:val="52"/>
          <w:szCs w:val="52"/>
        </w:rPr>
        <w:t>2020</w:t>
      </w:r>
      <w:r>
        <w:rPr>
          <w:rFonts w:ascii="黑体" w:eastAsia="黑体" w:hAnsi="黑体" w:cs="黑体" w:hint="eastAsia"/>
          <w:sz w:val="52"/>
          <w:szCs w:val="52"/>
        </w:rPr>
        <w:t>年度</w:t>
      </w:r>
      <w:bookmarkEnd w:id="0"/>
    </w:p>
    <w:p w:rsidR="00CE5647" w:rsidRDefault="004830D3">
      <w:pPr>
        <w:jc w:val="center"/>
        <w:rPr>
          <w:rFonts w:ascii="黑体" w:eastAsia="黑体" w:hAnsi="黑体" w:cs="黑体"/>
          <w:sz w:val="52"/>
          <w:szCs w:val="52"/>
        </w:rPr>
      </w:pPr>
      <w:r>
        <w:rPr>
          <w:rFonts w:ascii="黑体" w:eastAsia="黑体" w:hAnsi="黑体" w:cs="黑体" w:hint="eastAsia"/>
          <w:sz w:val="52"/>
          <w:szCs w:val="52"/>
        </w:rPr>
        <w:t>许昌市质量技术监督检验测试中心</w:t>
      </w:r>
    </w:p>
    <w:p w:rsidR="00CE5647" w:rsidRDefault="004830D3">
      <w:pPr>
        <w:jc w:val="center"/>
        <w:rPr>
          <w:rFonts w:ascii="黑体" w:eastAsia="黑体" w:hAnsi="黑体" w:cs="黑体"/>
          <w:sz w:val="52"/>
          <w:szCs w:val="52"/>
        </w:rPr>
      </w:pPr>
      <w:r>
        <w:rPr>
          <w:rFonts w:ascii="黑体" w:eastAsia="黑体" w:hAnsi="黑体" w:cs="黑体" w:hint="eastAsia"/>
          <w:sz w:val="52"/>
          <w:szCs w:val="52"/>
        </w:rPr>
        <w:t>部门决算</w:t>
      </w:r>
    </w:p>
    <w:p w:rsidR="00CE5647" w:rsidRDefault="00CE5647">
      <w:pPr>
        <w:jc w:val="center"/>
        <w:rPr>
          <w:rFonts w:ascii="黑体" w:eastAsia="黑体" w:hAnsi="黑体" w:cs="黑体"/>
          <w:sz w:val="52"/>
          <w:szCs w:val="52"/>
        </w:rPr>
      </w:pPr>
    </w:p>
    <w:p w:rsidR="00CE5647" w:rsidRDefault="00CE5647">
      <w:pPr>
        <w:jc w:val="center"/>
        <w:rPr>
          <w:rFonts w:ascii="黑体" w:eastAsia="黑体" w:hAnsi="黑体" w:cs="黑体"/>
          <w:sz w:val="52"/>
          <w:szCs w:val="52"/>
        </w:rPr>
      </w:pPr>
    </w:p>
    <w:p w:rsidR="00CE5647" w:rsidRDefault="00CE5647">
      <w:pPr>
        <w:jc w:val="center"/>
        <w:rPr>
          <w:rFonts w:ascii="黑体" w:eastAsia="黑体" w:hAnsi="黑体" w:cs="黑体"/>
          <w:sz w:val="52"/>
          <w:szCs w:val="52"/>
        </w:rPr>
      </w:pPr>
    </w:p>
    <w:p w:rsidR="00CE5647" w:rsidRDefault="00CE5647">
      <w:pPr>
        <w:jc w:val="center"/>
        <w:rPr>
          <w:rFonts w:ascii="黑体" w:eastAsia="黑体" w:hAnsi="黑体" w:cs="黑体"/>
          <w:sz w:val="52"/>
          <w:szCs w:val="52"/>
        </w:rPr>
      </w:pPr>
    </w:p>
    <w:p w:rsidR="00CE5647" w:rsidRDefault="00CE5647">
      <w:pPr>
        <w:jc w:val="center"/>
        <w:rPr>
          <w:rFonts w:ascii="黑体" w:eastAsia="黑体" w:hAnsi="黑体" w:cs="黑体"/>
          <w:sz w:val="52"/>
          <w:szCs w:val="52"/>
        </w:rPr>
      </w:pPr>
    </w:p>
    <w:p w:rsidR="00CE5647" w:rsidRDefault="00CE5647">
      <w:pPr>
        <w:jc w:val="center"/>
        <w:rPr>
          <w:rFonts w:ascii="黑体" w:eastAsia="黑体" w:hAnsi="黑体" w:cs="黑体"/>
          <w:sz w:val="52"/>
          <w:szCs w:val="52"/>
        </w:rPr>
      </w:pPr>
    </w:p>
    <w:p w:rsidR="00CE5647" w:rsidRDefault="004830D3">
      <w:pPr>
        <w:jc w:val="center"/>
        <w:rPr>
          <w:rFonts w:ascii="黑体" w:eastAsia="黑体" w:hAnsi="黑体" w:cs="黑体"/>
          <w:sz w:val="32"/>
          <w:szCs w:val="32"/>
        </w:rPr>
        <w:sectPr w:rsidR="00CE5647">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二〇二一年九月</w:t>
      </w:r>
    </w:p>
    <w:p w:rsidR="00CE5647" w:rsidRDefault="004830D3">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CE5647" w:rsidRDefault="004830D3">
      <w:pPr>
        <w:jc w:val="left"/>
        <w:rPr>
          <w:rFonts w:ascii="黑体" w:eastAsia="黑体" w:hAnsi="黑体" w:cs="黑体"/>
          <w:sz w:val="32"/>
          <w:szCs w:val="32"/>
        </w:rPr>
      </w:pPr>
      <w:r>
        <w:rPr>
          <w:rFonts w:ascii="黑体" w:eastAsia="黑体" w:hAnsi="黑体" w:cs="黑体" w:hint="eastAsia"/>
          <w:sz w:val="32"/>
          <w:szCs w:val="32"/>
        </w:rPr>
        <w:t>第一部分　　许昌市质量技术监督检验测试中心概况</w:t>
      </w:r>
    </w:p>
    <w:p w:rsidR="00CE5647" w:rsidRDefault="004830D3">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部门职责</w:t>
      </w:r>
    </w:p>
    <w:p w:rsidR="00CE5647" w:rsidRDefault="004830D3">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CE5647" w:rsidRDefault="004830D3">
      <w:pPr>
        <w:jc w:val="left"/>
        <w:rPr>
          <w:rFonts w:ascii="黑体" w:eastAsia="黑体" w:hAnsi="黑体" w:cs="黑体"/>
          <w:sz w:val="32"/>
          <w:szCs w:val="32"/>
        </w:rPr>
      </w:pPr>
      <w:r>
        <w:rPr>
          <w:rFonts w:ascii="黑体" w:eastAsia="黑体" w:hAnsi="黑体" w:cs="黑体" w:hint="eastAsia"/>
          <w:sz w:val="32"/>
          <w:szCs w:val="32"/>
        </w:rPr>
        <w:t xml:space="preserve">第二部分　　</w:t>
      </w:r>
      <w:r>
        <w:rPr>
          <w:rFonts w:ascii="黑体" w:eastAsia="黑体" w:hAnsi="黑体" w:cs="黑体" w:hint="eastAsia"/>
          <w:sz w:val="32"/>
          <w:szCs w:val="32"/>
        </w:rPr>
        <w:t>2020</w:t>
      </w:r>
      <w:r>
        <w:rPr>
          <w:rFonts w:ascii="黑体" w:eastAsia="黑体" w:hAnsi="黑体" w:cs="黑体" w:hint="eastAsia"/>
          <w:sz w:val="32"/>
          <w:szCs w:val="32"/>
        </w:rPr>
        <w:t>年度部门决算表</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二、收入决算表</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三、支出决算表</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CE5647" w:rsidRDefault="004830D3">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hint="eastAsia"/>
          <w:sz w:val="32"/>
          <w:szCs w:val="32"/>
        </w:rPr>
        <w:t>2020</w:t>
      </w:r>
      <w:r>
        <w:rPr>
          <w:rFonts w:ascii="黑体" w:eastAsia="黑体" w:hAnsi="黑体" w:cs="黑体" w:hint="eastAsia"/>
          <w:sz w:val="32"/>
          <w:szCs w:val="32"/>
        </w:rPr>
        <w:t>年度部门决算情况说明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九、政府性基金预算财政拨款支出决算情况说明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CE5647" w:rsidRDefault="004830D3">
      <w:pPr>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CE5647" w:rsidRDefault="004830D3">
      <w:pPr>
        <w:jc w:val="left"/>
        <w:rPr>
          <w:rFonts w:ascii="黑体" w:eastAsia="黑体" w:hAnsi="黑体" w:cs="黑体"/>
          <w:sz w:val="32"/>
          <w:szCs w:val="32"/>
        </w:rPr>
      </w:pPr>
      <w:r>
        <w:rPr>
          <w:rFonts w:ascii="黑体" w:eastAsia="黑体" w:hAnsi="黑体" w:cs="黑体" w:hint="eastAsia"/>
          <w:sz w:val="32"/>
          <w:szCs w:val="32"/>
        </w:rPr>
        <w:t>第四部分　　名词解释</w:t>
      </w:r>
    </w:p>
    <w:p w:rsidR="00CE5647" w:rsidRDefault="00CE5647">
      <w:pPr>
        <w:ind w:firstLineChars="200" w:firstLine="640"/>
        <w:jc w:val="left"/>
        <w:rPr>
          <w:rFonts w:ascii="宋体" w:hAnsi="宋体" w:cs="宋体"/>
          <w:sz w:val="32"/>
          <w:szCs w:val="32"/>
        </w:rPr>
      </w:pPr>
    </w:p>
    <w:p w:rsidR="00CE5647" w:rsidRDefault="00CE5647">
      <w:pPr>
        <w:jc w:val="left"/>
        <w:rPr>
          <w:rFonts w:ascii="黑体" w:eastAsia="黑体" w:hAnsi="黑体" w:cs="黑体"/>
          <w:sz w:val="32"/>
          <w:szCs w:val="32"/>
        </w:rPr>
        <w:sectPr w:rsidR="00CE5647">
          <w:footerReference w:type="even" r:id="rId8"/>
          <w:footerReference w:type="default" r:id="rId9"/>
          <w:pgSz w:w="11906" w:h="16838"/>
          <w:pgMar w:top="1440" w:right="1531" w:bottom="1440" w:left="1587" w:header="850" w:footer="992" w:gutter="0"/>
          <w:pgNumType w:fmt="numberInDash" w:start="1"/>
          <w:cols w:space="720"/>
          <w:docGrid w:type="lines" w:linePitch="317"/>
        </w:sect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4830D3">
      <w:pPr>
        <w:widowControl/>
        <w:jc w:val="center"/>
        <w:outlineLvl w:val="0"/>
        <w:rPr>
          <w:rFonts w:ascii="黑体" w:eastAsia="黑体" w:hAnsi="宋体" w:cs="宋体"/>
          <w:kern w:val="0"/>
          <w:sz w:val="28"/>
          <w:szCs w:val="28"/>
        </w:rPr>
      </w:pPr>
      <w:r>
        <w:rPr>
          <w:rFonts w:ascii="黑体" w:eastAsia="黑体" w:hAnsi="黑体" w:cs="黑体" w:hint="eastAsia"/>
          <w:sz w:val="48"/>
          <w:szCs w:val="48"/>
        </w:rPr>
        <w:t>第一部分</w:t>
      </w:r>
      <w:r>
        <w:rPr>
          <w:rFonts w:ascii="黑体" w:eastAsia="黑体" w:hAnsi="黑体" w:cs="黑体" w:hint="eastAsia"/>
          <w:sz w:val="48"/>
          <w:szCs w:val="48"/>
        </w:rPr>
        <w:t xml:space="preserve">  </w:t>
      </w:r>
      <w:r>
        <w:rPr>
          <w:rFonts w:ascii="黑体" w:eastAsia="黑体" w:hAnsi="黑体" w:cs="黑体" w:hint="eastAsia"/>
          <w:sz w:val="48"/>
          <w:szCs w:val="48"/>
        </w:rPr>
        <w:t>许昌市质量技术监督检验测试中心概况</w:t>
      </w: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sectPr w:rsidR="00CE5647">
          <w:pgSz w:w="11906" w:h="16838"/>
          <w:pgMar w:top="1440" w:right="1800" w:bottom="1440" w:left="1800" w:header="720" w:footer="720" w:gutter="0"/>
          <w:pgNumType w:fmt="numberInDash"/>
          <w:cols w:space="720"/>
          <w:docGrid w:type="lines" w:linePitch="312"/>
        </w:sectPr>
      </w:pPr>
    </w:p>
    <w:p w:rsidR="00CE5647" w:rsidRDefault="004830D3">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一、部门</w:t>
      </w:r>
      <w:r>
        <w:rPr>
          <w:rFonts w:ascii="黑体" w:eastAsia="黑体" w:hAnsi="黑体" w:cs="黑体" w:hint="eastAsia"/>
          <w:bCs/>
          <w:sz w:val="32"/>
          <w:szCs w:val="32"/>
        </w:rPr>
        <w:t>职责</w:t>
      </w:r>
    </w:p>
    <w:p w:rsidR="00CE5647" w:rsidRDefault="004830D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（一）许昌市质量技术监督检验测试中心的职能和任务是：为量值准确和保证产品质量提供计量检定和质量检验保障。工作</w:t>
      </w:r>
      <w:bookmarkStart w:id="1" w:name="_Hlk81810677"/>
      <w:r>
        <w:rPr>
          <w:rFonts w:ascii="仿宋_GB2312" w:eastAsia="仿宋_GB2312" w:hAnsi="仿宋_GB2312" w:cs="仿宋_GB2312" w:hint="eastAsia"/>
          <w:sz w:val="32"/>
          <w:szCs w:val="32"/>
        </w:rPr>
        <w:t>计量器具强制检定</w:t>
      </w:r>
      <w:bookmarkEnd w:id="1"/>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工作计量器具与计量标准器具检定测试与校准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计量技术基础建设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建立、保存、使用本地区社会公用计量标准和质量检验设备装置；现已开展长度、热学、力学、电磁、光学、无线电、化学、声学、电离辐射、时间频率等十大类</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余种计量检定测试工作，承担机械、电器、轻工、建材、化工、食品、发制品、石油制品等</w:t>
      </w:r>
      <w:r>
        <w:rPr>
          <w:rFonts w:ascii="仿宋_GB2312" w:eastAsia="仿宋_GB2312" w:hAnsi="仿宋_GB2312" w:cs="仿宋_GB2312" w:hint="eastAsia"/>
          <w:sz w:val="32"/>
          <w:szCs w:val="32"/>
        </w:rPr>
        <w:t>1370</w:t>
      </w:r>
      <w:r>
        <w:rPr>
          <w:rFonts w:ascii="仿宋_GB2312" w:eastAsia="仿宋_GB2312" w:hAnsi="仿宋_GB2312" w:cs="仿宋_GB2312" w:hint="eastAsia"/>
          <w:sz w:val="32"/>
          <w:szCs w:val="32"/>
        </w:rPr>
        <w:t>种产品（含参数）监督检验，仲裁检验和委托检验工作，出具的数据和结论具有法律效力。</w:t>
      </w:r>
    </w:p>
    <w:p w:rsidR="00CE5647" w:rsidRDefault="004830D3">
      <w:pPr>
        <w:adjustRightInd w:val="0"/>
        <w:snapToGrid w:val="0"/>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（二）承担</w:t>
      </w:r>
      <w:bookmarkStart w:id="2" w:name="_Hlk81810743"/>
      <w:r>
        <w:rPr>
          <w:rFonts w:ascii="仿宋_GB2312" w:eastAsia="仿宋_GB2312" w:hAnsi="仿宋_GB2312" w:cs="仿宋_GB2312" w:hint="eastAsia"/>
          <w:sz w:val="32"/>
          <w:szCs w:val="32"/>
        </w:rPr>
        <w:t>本地区量值传递，强制检定，仲裁检定</w:t>
      </w:r>
      <w:bookmarkEnd w:id="2"/>
      <w:r>
        <w:rPr>
          <w:rFonts w:ascii="仿宋_GB2312" w:eastAsia="仿宋_GB2312" w:hAnsi="仿宋_GB2312" w:cs="仿宋_GB2312" w:hint="eastAsia"/>
          <w:sz w:val="32"/>
          <w:szCs w:val="32"/>
        </w:rPr>
        <w:t>，</w:t>
      </w:r>
      <w:bookmarkStart w:id="3" w:name="_Hlk81811624"/>
      <w:r>
        <w:rPr>
          <w:rFonts w:ascii="仿宋_GB2312" w:eastAsia="仿宋_GB2312" w:hAnsi="仿宋_GB2312" w:cs="仿宋_GB2312" w:hint="eastAsia"/>
          <w:sz w:val="32"/>
          <w:szCs w:val="32"/>
        </w:rPr>
        <w:t>委托检验等测试任务</w:t>
      </w:r>
      <w:bookmarkEnd w:id="3"/>
      <w:r>
        <w:rPr>
          <w:rFonts w:ascii="仿宋_GB2312" w:eastAsia="仿宋_GB2312" w:hAnsi="仿宋_GB2312" w:cs="仿宋_GB2312" w:hint="eastAsia"/>
          <w:sz w:val="32"/>
          <w:szCs w:val="32"/>
        </w:rPr>
        <w:t>；承担与本地区经济发展相适应的质量检验任务和适应</w:t>
      </w:r>
      <w:bookmarkStart w:id="4" w:name="_Hlk81810852"/>
      <w:r>
        <w:rPr>
          <w:rFonts w:ascii="仿宋_GB2312" w:eastAsia="仿宋_GB2312" w:hAnsi="仿宋_GB2312" w:cs="仿宋_GB2312" w:hint="eastAsia"/>
          <w:sz w:val="32"/>
          <w:szCs w:val="32"/>
        </w:rPr>
        <w:t>质量技术监督行政执法</w:t>
      </w:r>
      <w:bookmarkEnd w:id="4"/>
      <w:r>
        <w:rPr>
          <w:rFonts w:ascii="仿宋_GB2312" w:eastAsia="仿宋_GB2312" w:hAnsi="仿宋_GB2312" w:cs="仿宋_GB2312" w:hint="eastAsia"/>
          <w:sz w:val="32"/>
          <w:szCs w:val="32"/>
        </w:rPr>
        <w:t>需要的监督检测任务。</w:t>
      </w:r>
    </w:p>
    <w:p w:rsidR="00CE5647" w:rsidRDefault="004830D3">
      <w:pPr>
        <w:adjustRightInd w:val="0"/>
        <w:snapToGrid w:val="0"/>
        <w:spacing w:line="6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（三）承办上级及政府交办的其他有关事项。</w:t>
      </w:r>
    </w:p>
    <w:p w:rsidR="00CE5647" w:rsidRDefault="004830D3">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CE5647" w:rsidRDefault="004830D3">
      <w:pPr>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许昌市质量技术监督检验测试中心内设机构</w:t>
      </w:r>
      <w:r>
        <w:rPr>
          <w:rFonts w:ascii="仿宋_GB2312" w:eastAsia="仿宋_GB2312" w:hAnsi="仿宋_GB2312" w:cs="仿宋_GB2312" w:hint="eastAsia"/>
          <w:kern w:val="0"/>
          <w:sz w:val="32"/>
          <w:szCs w:val="32"/>
        </w:rPr>
        <w:t>19</w:t>
      </w:r>
      <w:r>
        <w:rPr>
          <w:rFonts w:ascii="仿宋_GB2312" w:eastAsia="仿宋_GB2312" w:hAnsi="仿宋_GB2312" w:cs="仿宋_GB2312" w:hint="eastAsia"/>
          <w:kern w:val="0"/>
          <w:sz w:val="32"/>
          <w:szCs w:val="32"/>
        </w:rPr>
        <w:t>个，包括：</w:t>
      </w:r>
      <w:r>
        <w:rPr>
          <w:rFonts w:ascii="仿宋_GB2312" w:eastAsia="仿宋_GB2312" w:hAnsi="宋体" w:hint="eastAsia"/>
          <w:sz w:val="32"/>
          <w:szCs w:val="32"/>
        </w:rPr>
        <w:t>办公室、业务室、人事科、长度室、流量室、电磁室、力学室、轻工室、能源室、食品室、电器室、化工室、建材室、物理室、国家发制品中心、国家陶瓷制品中心、河南省豆制品中心、河南省电机中心</w:t>
      </w:r>
      <w:r>
        <w:rPr>
          <w:rFonts w:ascii="仿宋_GB2312" w:eastAsia="仿宋_GB2312" w:hint="eastAsia"/>
          <w:sz w:val="32"/>
          <w:szCs w:val="32"/>
        </w:rPr>
        <w:t>、标准化室</w:t>
      </w:r>
      <w:r>
        <w:rPr>
          <w:rFonts w:ascii="仿宋_GB2312" w:eastAsia="仿宋_GB2312" w:hAnsi="宋体" w:hint="eastAsia"/>
          <w:sz w:val="32"/>
          <w:szCs w:val="32"/>
        </w:rPr>
        <w:t>。</w:t>
      </w:r>
    </w:p>
    <w:p w:rsidR="00CE5647" w:rsidRDefault="004830D3">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从决算单位构成看，</w:t>
      </w:r>
      <w:r>
        <w:rPr>
          <w:rFonts w:ascii="仿宋_GB2312" w:eastAsia="仿宋_GB2312" w:hAnsi="仿宋" w:hint="eastAsia"/>
          <w:sz w:val="32"/>
          <w:szCs w:val="32"/>
        </w:rPr>
        <w:t>许昌市质量技术监督检验测试</w:t>
      </w:r>
      <w:r>
        <w:rPr>
          <w:rFonts w:ascii="仿宋_GB2312" w:eastAsia="仿宋_GB2312" w:hAnsi="宋体" w:hint="eastAsia"/>
          <w:sz w:val="32"/>
          <w:szCs w:val="32"/>
        </w:rPr>
        <w:t>中心</w:t>
      </w:r>
      <w:r>
        <w:rPr>
          <w:rFonts w:ascii="仿宋_GB2312" w:eastAsia="仿宋_GB2312" w:hAnsi="仿宋_GB2312" w:cs="仿宋_GB2312" w:hint="eastAsia"/>
          <w:kern w:val="0"/>
          <w:sz w:val="32"/>
          <w:szCs w:val="32"/>
        </w:rPr>
        <w:t>决算</w:t>
      </w:r>
      <w:r>
        <w:rPr>
          <w:rFonts w:ascii="仿宋_GB2312" w:eastAsia="仿宋_GB2312" w:hAnsi="仿宋_GB2312" w:cs="仿宋_GB2312" w:hint="eastAsia"/>
          <w:kern w:val="0"/>
          <w:sz w:val="32"/>
          <w:szCs w:val="32"/>
        </w:rPr>
        <w:t>包括：本级决算。</w:t>
      </w:r>
    </w:p>
    <w:p w:rsidR="00CE5647" w:rsidRDefault="004830D3">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纳入本部门</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年度部门决算编制范围的单位共</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个，其中二级预算单位</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个，具体是：</w:t>
      </w:r>
    </w:p>
    <w:p w:rsidR="00CE5647" w:rsidRDefault="004830D3">
      <w:pPr>
        <w:widowControl/>
        <w:ind w:firstLineChars="200" w:firstLine="640"/>
        <w:jc w:val="left"/>
        <w:rPr>
          <w:rFonts w:ascii="仿宋_GB2312" w:eastAsia="仿宋_GB2312" w:hAnsi="仿宋_GB2312" w:cs="仿宋_GB2312"/>
          <w:kern w:val="0"/>
          <w:sz w:val="32"/>
          <w:szCs w:val="32"/>
        </w:rPr>
        <w:sectPr w:rsidR="00CE5647">
          <w:pgSz w:w="11906" w:h="16838"/>
          <w:pgMar w:top="1440" w:right="1800" w:bottom="1440" w:left="1800" w:header="720" w:footer="720" w:gutter="0"/>
          <w:pgNumType w:fmt="numberInDash"/>
          <w:cols w:space="720"/>
          <w:docGrid w:type="lines" w:linePitch="312"/>
        </w:sectPr>
      </w:pPr>
      <w:r>
        <w:rPr>
          <w:rFonts w:ascii="仿宋_GB2312" w:eastAsia="仿宋_GB2312" w:hAnsi="仿宋_GB2312" w:cs="仿宋_GB2312" w:hint="eastAsia"/>
          <w:kern w:val="0"/>
          <w:sz w:val="32"/>
          <w:szCs w:val="32"/>
        </w:rPr>
        <w:t>1.</w:t>
      </w:r>
      <w:r>
        <w:rPr>
          <w:rFonts w:ascii="仿宋_GB2312" w:eastAsia="仿宋_GB2312" w:hAnsi="仿宋" w:hint="eastAsia"/>
          <w:sz w:val="32"/>
          <w:szCs w:val="32"/>
        </w:rPr>
        <w:t>许昌市质量技术监督检验测试</w:t>
      </w:r>
      <w:r>
        <w:rPr>
          <w:rFonts w:ascii="仿宋_GB2312" w:eastAsia="仿宋_GB2312" w:hAnsi="宋体" w:hint="eastAsia"/>
          <w:sz w:val="32"/>
          <w:szCs w:val="32"/>
        </w:rPr>
        <w:t>中心</w:t>
      </w: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4830D3">
      <w:pPr>
        <w:jc w:val="center"/>
        <w:outlineLvl w:val="0"/>
        <w:rPr>
          <w:rFonts w:ascii="黑体" w:eastAsia="黑体" w:hAnsi="黑体" w:cs="黑体"/>
          <w:sz w:val="48"/>
          <w:szCs w:val="48"/>
        </w:rPr>
      </w:pPr>
      <w:r>
        <w:rPr>
          <w:rFonts w:ascii="黑体" w:eastAsia="黑体" w:hAnsi="黑体" w:cs="黑体" w:hint="eastAsia"/>
          <w:sz w:val="48"/>
          <w:szCs w:val="48"/>
        </w:rPr>
        <w:t>第二部分</w:t>
      </w:r>
      <w:r>
        <w:rPr>
          <w:rFonts w:ascii="黑体" w:eastAsia="黑体" w:hAnsi="黑体" w:cs="黑体" w:hint="eastAsia"/>
          <w:sz w:val="48"/>
          <w:szCs w:val="48"/>
        </w:rPr>
        <w:t xml:space="preserve">  2020</w:t>
      </w:r>
      <w:r>
        <w:rPr>
          <w:rFonts w:ascii="黑体" w:eastAsia="黑体" w:hAnsi="黑体" w:cs="黑体" w:hint="eastAsia"/>
          <w:sz w:val="48"/>
          <w:szCs w:val="48"/>
        </w:rPr>
        <w:t>年度部门决算表</w:t>
      </w: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sectPr w:rsidR="00CE5647">
          <w:pgSz w:w="11906" w:h="16838"/>
          <w:pgMar w:top="1440" w:right="1800" w:bottom="1440" w:left="1800" w:header="720" w:footer="720" w:gutter="0"/>
          <w:pgNumType w:fmt="numberInDash"/>
          <w:cols w:space="720"/>
          <w:docGrid w:type="lines" w:linePitch="312"/>
        </w:sectPr>
      </w:pPr>
    </w:p>
    <w:tbl>
      <w:tblPr>
        <w:tblW w:w="13821" w:type="dxa"/>
        <w:tblInd w:w="108" w:type="dxa"/>
        <w:tblLook w:val="04A0" w:firstRow="1" w:lastRow="0" w:firstColumn="1" w:lastColumn="0" w:noHBand="0" w:noVBand="1"/>
      </w:tblPr>
      <w:tblGrid>
        <w:gridCol w:w="5089"/>
        <w:gridCol w:w="674"/>
        <w:gridCol w:w="1305"/>
        <w:gridCol w:w="4774"/>
        <w:gridCol w:w="674"/>
        <w:gridCol w:w="1305"/>
      </w:tblGrid>
      <w:tr w:rsidR="00CE5647">
        <w:trPr>
          <w:trHeight w:val="390"/>
        </w:trPr>
        <w:tc>
          <w:tcPr>
            <w:tcW w:w="13821" w:type="dxa"/>
            <w:gridSpan w:val="6"/>
            <w:tcBorders>
              <w:top w:val="nil"/>
              <w:left w:val="nil"/>
              <w:bottom w:val="nil"/>
              <w:right w:val="nil"/>
            </w:tcBorders>
            <w:noWrap/>
            <w:vAlign w:val="bottom"/>
          </w:tcPr>
          <w:p w:rsidR="00CE5647" w:rsidRDefault="004830D3">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收入支出决算总表</w:t>
            </w:r>
          </w:p>
        </w:tc>
      </w:tr>
      <w:tr w:rsidR="00CE5647">
        <w:trPr>
          <w:trHeight w:val="255"/>
        </w:trPr>
        <w:tc>
          <w:tcPr>
            <w:tcW w:w="5089"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30"/>
                <w:szCs w:val="30"/>
              </w:rPr>
            </w:pPr>
          </w:p>
        </w:tc>
        <w:tc>
          <w:tcPr>
            <w:tcW w:w="674"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305"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4774"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979" w:type="dxa"/>
            <w:gridSpan w:val="2"/>
            <w:tcBorders>
              <w:top w:val="nil"/>
              <w:left w:val="nil"/>
              <w:bottom w:val="nil"/>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01</w:t>
            </w:r>
            <w:r>
              <w:rPr>
                <w:rFonts w:ascii="宋体" w:hAnsi="宋体" w:cs="Arial" w:hint="eastAsia"/>
                <w:color w:val="000000"/>
                <w:kern w:val="0"/>
                <w:sz w:val="20"/>
                <w:szCs w:val="20"/>
              </w:rPr>
              <w:t>表</w:t>
            </w:r>
          </w:p>
        </w:tc>
      </w:tr>
      <w:tr w:rsidR="00CE5647">
        <w:trPr>
          <w:trHeight w:val="255"/>
        </w:trPr>
        <w:tc>
          <w:tcPr>
            <w:tcW w:w="11842" w:type="dxa"/>
            <w:gridSpan w:val="4"/>
            <w:tcBorders>
              <w:top w:val="nil"/>
              <w:left w:val="nil"/>
              <w:bottom w:val="single" w:sz="4" w:space="0" w:color="000000"/>
              <w:right w:val="nil"/>
            </w:tcBorders>
            <w:noWrap/>
            <w:vAlign w:val="bottom"/>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部门：许昌市质量技术监督检验测试中心</w:t>
            </w:r>
          </w:p>
        </w:tc>
        <w:tc>
          <w:tcPr>
            <w:tcW w:w="1979" w:type="dxa"/>
            <w:gridSpan w:val="2"/>
            <w:tcBorders>
              <w:top w:val="nil"/>
              <w:left w:val="nil"/>
              <w:bottom w:val="single" w:sz="4" w:space="0" w:color="000000"/>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E5647">
        <w:trPr>
          <w:trHeight w:val="308"/>
        </w:trPr>
        <w:tc>
          <w:tcPr>
            <w:tcW w:w="7068" w:type="dxa"/>
            <w:gridSpan w:val="3"/>
            <w:tcBorders>
              <w:top w:val="single" w:sz="4" w:space="0" w:color="000000"/>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收入</w:t>
            </w:r>
          </w:p>
        </w:tc>
        <w:tc>
          <w:tcPr>
            <w:tcW w:w="6753" w:type="dxa"/>
            <w:gridSpan w:val="3"/>
            <w:tcBorders>
              <w:top w:val="single" w:sz="4" w:space="0" w:color="000000"/>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支出</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金额</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金额</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一、一般公共预算财政拨款收入</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2,200.36</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32</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3,151.52</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二、政府性基金预算财政拨款收入</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二、外交支出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33</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三、国有资本经营预算财政拨款收入</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三、国防支出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34</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四、上级补助收入</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四、公共安全支出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35</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五、事业收入</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五、教育支出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36</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六、经营收入</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六、科学技术支出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37</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七、附属单位上缴收入</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7</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七、文化旅游体育与传媒支出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38</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八、其他收入</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8</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77.07</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39</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230.93</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9</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九、卫生健康支出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40</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十、节能环保支出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41</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11</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42</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12</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十二、农林水支出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43</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13</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44</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14</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十四、资源勘探工业信息等支出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45</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15</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46</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16</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十六、金融支出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47</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17</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十七、援助其他地区支出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48</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lastRenderedPageBreak/>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18</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十八、自然资源海洋气象等支出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49</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19</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十九、住房保障支出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50</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20</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二十、粮油物资储备支出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51</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21</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二十一、国有资本经营预算支出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52</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22</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二十二、灾害防治及应急管理支出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53</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23</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二十三、其他支出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54</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0"/>
                <w:szCs w:val="20"/>
              </w:rPr>
            </w:pPr>
            <w:r>
              <w:rPr>
                <w:rFonts w:ascii="宋体" w:hAnsi="宋体" w:cs="Arial" w:hint="eastAsia"/>
                <w:color w:val="000000"/>
                <w:kern w:val="0"/>
                <w:sz w:val="20"/>
                <w:szCs w:val="20"/>
              </w:rPr>
              <w:t>24</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二十四、债务还本支出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55</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0"/>
                <w:szCs w:val="20"/>
              </w:rPr>
            </w:pPr>
            <w:r>
              <w:rPr>
                <w:rFonts w:ascii="宋体" w:hAnsi="宋体" w:cs="Arial" w:hint="eastAsia"/>
                <w:color w:val="000000"/>
                <w:kern w:val="0"/>
                <w:sz w:val="20"/>
                <w:szCs w:val="20"/>
              </w:rPr>
              <w:t>25</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二十五、债务付息支出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56</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0"/>
                <w:szCs w:val="20"/>
              </w:rPr>
            </w:pPr>
            <w:r>
              <w:rPr>
                <w:rFonts w:ascii="宋体" w:hAnsi="宋体" w:cs="Arial" w:hint="eastAsia"/>
                <w:color w:val="000000"/>
                <w:kern w:val="0"/>
                <w:sz w:val="20"/>
                <w:szCs w:val="20"/>
              </w:rPr>
              <w:t>26</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二十六、抗疫特别国债安排的支出</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57</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b/>
                <w:bCs/>
                <w:color w:val="000000"/>
                <w:kern w:val="0"/>
                <w:sz w:val="22"/>
              </w:rPr>
            </w:pPr>
            <w:r>
              <w:rPr>
                <w:rFonts w:ascii="宋体" w:hAnsi="宋体" w:cs="Arial" w:hint="eastAsia"/>
                <w:b/>
                <w:bCs/>
                <w:color w:val="000000"/>
                <w:kern w:val="0"/>
                <w:sz w:val="22"/>
              </w:rPr>
              <w:t>本年收入合计</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27</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2,277.43</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b/>
                <w:bCs/>
                <w:color w:val="000000"/>
                <w:kern w:val="0"/>
                <w:sz w:val="22"/>
              </w:rPr>
            </w:pPr>
            <w:r>
              <w:rPr>
                <w:rFonts w:ascii="宋体" w:hAnsi="宋体" w:cs="Arial" w:hint="eastAsia"/>
                <w:b/>
                <w:bCs/>
                <w:color w:val="000000"/>
                <w:kern w:val="0"/>
                <w:sz w:val="22"/>
              </w:rPr>
              <w:t>本年支出合计</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58</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3,410.94</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使用非财政拨款结余</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28</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结余分配</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59</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年初结转和结余</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29</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1,670.96</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年末结转和结余</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60</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537.45</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30</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61</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r>
      <w:tr w:rsidR="00CE5647">
        <w:trPr>
          <w:trHeight w:val="308"/>
        </w:trPr>
        <w:tc>
          <w:tcPr>
            <w:tcW w:w="5089" w:type="dxa"/>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674" w:type="dxa"/>
            <w:tcBorders>
              <w:top w:val="nil"/>
              <w:left w:val="nil"/>
              <w:bottom w:val="single" w:sz="8"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31</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3,948.39</w:t>
            </w:r>
          </w:p>
        </w:tc>
        <w:tc>
          <w:tcPr>
            <w:tcW w:w="47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674"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62</w:t>
            </w:r>
          </w:p>
        </w:tc>
        <w:tc>
          <w:tcPr>
            <w:tcW w:w="130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3,948.39</w:t>
            </w:r>
          </w:p>
        </w:tc>
      </w:tr>
      <w:tr w:rsidR="00CE5647">
        <w:trPr>
          <w:trHeight w:val="308"/>
        </w:trPr>
        <w:tc>
          <w:tcPr>
            <w:tcW w:w="13821" w:type="dxa"/>
            <w:gridSpan w:val="6"/>
            <w:tcBorders>
              <w:top w:val="nil"/>
              <w:left w:val="nil"/>
              <w:bottom w:val="nil"/>
              <w:right w:val="nil"/>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注：本表反映部门本年度的总收支和年末结转结余情况。本套报表金额单位转换时可能存在尾数误差。</w:t>
            </w:r>
          </w:p>
        </w:tc>
      </w:tr>
    </w:tbl>
    <w:p w:rsidR="00CE5647" w:rsidRDefault="00CE5647">
      <w:pPr>
        <w:rPr>
          <w:rFonts w:ascii="仿宋_GB2312" w:eastAsia="仿宋_GB2312" w:hAnsi="仿宋_GB2312" w:cs="仿宋_GB2312"/>
          <w:sz w:val="32"/>
          <w:szCs w:val="32"/>
        </w:rPr>
      </w:pPr>
    </w:p>
    <w:p w:rsidR="00CE5647" w:rsidRDefault="00CE5647">
      <w:pPr>
        <w:rPr>
          <w:rFonts w:ascii="仿宋_GB2312" w:eastAsia="仿宋_GB2312" w:hAnsi="仿宋_GB2312" w:cs="仿宋_GB2312"/>
          <w:sz w:val="32"/>
          <w:szCs w:val="32"/>
        </w:rPr>
        <w:sectPr w:rsidR="00CE5647">
          <w:pgSz w:w="16838" w:h="11906" w:orient="landscape"/>
          <w:pgMar w:top="1800" w:right="1440" w:bottom="1800" w:left="1440" w:header="720" w:footer="720" w:gutter="0"/>
          <w:pgNumType w:fmt="numberInDash"/>
          <w:cols w:space="720"/>
          <w:docGrid w:type="lines" w:linePitch="312"/>
        </w:sectPr>
      </w:pPr>
    </w:p>
    <w:p w:rsidR="00CE5647" w:rsidRDefault="00CE5647">
      <w:pPr>
        <w:rPr>
          <w:rFonts w:ascii="仿宋_GB2312" w:eastAsia="仿宋_GB2312" w:hAnsi="仿宋_GB2312" w:cs="仿宋_GB2312"/>
          <w:sz w:val="32"/>
          <w:szCs w:val="32"/>
        </w:rPr>
      </w:pPr>
    </w:p>
    <w:tbl>
      <w:tblPr>
        <w:tblW w:w="13834" w:type="dxa"/>
        <w:tblInd w:w="108" w:type="dxa"/>
        <w:tblLook w:val="04A0" w:firstRow="1" w:lastRow="0" w:firstColumn="1" w:lastColumn="0" w:noHBand="0" w:noVBand="1"/>
      </w:tblPr>
      <w:tblGrid>
        <w:gridCol w:w="401"/>
        <w:gridCol w:w="313"/>
        <w:gridCol w:w="272"/>
        <w:gridCol w:w="4603"/>
        <w:gridCol w:w="1597"/>
        <w:gridCol w:w="1389"/>
        <w:gridCol w:w="999"/>
        <w:gridCol w:w="997"/>
        <w:gridCol w:w="997"/>
        <w:gridCol w:w="997"/>
        <w:gridCol w:w="1066"/>
        <w:gridCol w:w="222"/>
      </w:tblGrid>
      <w:tr w:rsidR="00CE5647">
        <w:trPr>
          <w:gridAfter w:val="1"/>
          <w:wAfter w:w="218" w:type="dxa"/>
          <w:trHeight w:val="296"/>
        </w:trPr>
        <w:tc>
          <w:tcPr>
            <w:tcW w:w="13616" w:type="dxa"/>
            <w:gridSpan w:val="11"/>
            <w:tcBorders>
              <w:top w:val="nil"/>
              <w:left w:val="nil"/>
              <w:bottom w:val="nil"/>
              <w:right w:val="nil"/>
            </w:tcBorders>
            <w:noWrap/>
            <w:vAlign w:val="bottom"/>
          </w:tcPr>
          <w:p w:rsidR="00CE5647" w:rsidRDefault="004830D3">
            <w:pPr>
              <w:widowControl/>
              <w:jc w:val="center"/>
              <w:rPr>
                <w:rFonts w:ascii="宋体" w:hAnsi="宋体" w:cs="Arial"/>
                <w:color w:val="000000"/>
                <w:kern w:val="0"/>
                <w:sz w:val="30"/>
                <w:szCs w:val="30"/>
              </w:rPr>
            </w:pPr>
            <w:r>
              <w:rPr>
                <w:rFonts w:ascii="宋体" w:hAnsi="宋体" w:cs="Arial" w:hint="eastAsia"/>
                <w:color w:val="000000"/>
                <w:kern w:val="0"/>
                <w:sz w:val="30"/>
                <w:szCs w:val="30"/>
              </w:rPr>
              <w:t>收入决算表</w:t>
            </w:r>
          </w:p>
        </w:tc>
      </w:tr>
      <w:tr w:rsidR="00CE5647">
        <w:trPr>
          <w:gridAfter w:val="1"/>
          <w:wAfter w:w="222" w:type="dxa"/>
          <w:trHeight w:val="193"/>
        </w:trPr>
        <w:tc>
          <w:tcPr>
            <w:tcW w:w="395"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30"/>
                <w:szCs w:val="30"/>
              </w:rPr>
            </w:pPr>
          </w:p>
        </w:tc>
        <w:tc>
          <w:tcPr>
            <w:tcW w:w="308"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267"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4603"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597"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389"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997"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997"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3059" w:type="dxa"/>
            <w:gridSpan w:val="3"/>
            <w:tcBorders>
              <w:top w:val="nil"/>
              <w:left w:val="nil"/>
              <w:bottom w:val="nil"/>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02</w:t>
            </w:r>
            <w:r>
              <w:rPr>
                <w:rFonts w:ascii="宋体" w:hAnsi="宋体" w:cs="Arial" w:hint="eastAsia"/>
                <w:color w:val="000000"/>
                <w:kern w:val="0"/>
                <w:sz w:val="20"/>
                <w:szCs w:val="20"/>
              </w:rPr>
              <w:t>表</w:t>
            </w:r>
          </w:p>
        </w:tc>
      </w:tr>
      <w:tr w:rsidR="00CE5647">
        <w:trPr>
          <w:gridAfter w:val="1"/>
          <w:wAfter w:w="219" w:type="dxa"/>
          <w:trHeight w:val="193"/>
        </w:trPr>
        <w:tc>
          <w:tcPr>
            <w:tcW w:w="9559" w:type="dxa"/>
            <w:gridSpan w:val="7"/>
            <w:tcBorders>
              <w:top w:val="nil"/>
              <w:left w:val="nil"/>
              <w:bottom w:val="single" w:sz="4" w:space="0" w:color="000000"/>
              <w:right w:val="nil"/>
            </w:tcBorders>
            <w:noWrap/>
            <w:vAlign w:val="bottom"/>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部门：许昌市质量技术监督检验测试中心</w:t>
            </w:r>
          </w:p>
        </w:tc>
        <w:tc>
          <w:tcPr>
            <w:tcW w:w="997" w:type="dxa"/>
            <w:tcBorders>
              <w:top w:val="nil"/>
              <w:left w:val="nil"/>
              <w:bottom w:val="nil"/>
              <w:right w:val="nil"/>
            </w:tcBorders>
            <w:noWrap/>
            <w:vAlign w:val="bottom"/>
          </w:tcPr>
          <w:p w:rsidR="00CE5647" w:rsidRDefault="00CE5647">
            <w:pPr>
              <w:widowControl/>
              <w:jc w:val="left"/>
              <w:rPr>
                <w:rFonts w:ascii="宋体" w:hAnsi="宋体" w:cs="Arial"/>
                <w:color w:val="000000"/>
                <w:kern w:val="0"/>
                <w:sz w:val="20"/>
                <w:szCs w:val="20"/>
              </w:rPr>
            </w:pPr>
          </w:p>
        </w:tc>
        <w:tc>
          <w:tcPr>
            <w:tcW w:w="3059" w:type="dxa"/>
            <w:gridSpan w:val="3"/>
            <w:tcBorders>
              <w:top w:val="nil"/>
              <w:left w:val="nil"/>
              <w:bottom w:val="single" w:sz="4" w:space="0" w:color="000000"/>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E5647">
        <w:trPr>
          <w:gridAfter w:val="1"/>
          <w:wAfter w:w="221" w:type="dxa"/>
          <w:trHeight w:val="233"/>
        </w:trPr>
        <w:tc>
          <w:tcPr>
            <w:tcW w:w="5574" w:type="dxa"/>
            <w:gridSpan w:val="4"/>
            <w:tcBorders>
              <w:top w:val="single" w:sz="4" w:space="0" w:color="000000"/>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59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本年收入合计</w:t>
            </w:r>
          </w:p>
        </w:tc>
        <w:tc>
          <w:tcPr>
            <w:tcW w:w="1389"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财政拨款收入</w:t>
            </w:r>
          </w:p>
        </w:tc>
        <w:tc>
          <w:tcPr>
            <w:tcW w:w="99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上级补助收入</w:t>
            </w:r>
          </w:p>
        </w:tc>
        <w:tc>
          <w:tcPr>
            <w:tcW w:w="997" w:type="dxa"/>
            <w:vMerge w:val="restart"/>
            <w:tcBorders>
              <w:top w:val="single" w:sz="4" w:space="0" w:color="000000"/>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事业收入</w:t>
            </w:r>
          </w:p>
        </w:tc>
        <w:tc>
          <w:tcPr>
            <w:tcW w:w="99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经营收入</w:t>
            </w:r>
          </w:p>
        </w:tc>
        <w:tc>
          <w:tcPr>
            <w:tcW w:w="99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附属单位上缴收入</w:t>
            </w:r>
          </w:p>
        </w:tc>
        <w:tc>
          <w:tcPr>
            <w:tcW w:w="1065"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其他收入</w:t>
            </w:r>
          </w:p>
        </w:tc>
      </w:tr>
      <w:tr w:rsidR="00CE5647">
        <w:trPr>
          <w:gridAfter w:val="1"/>
          <w:wAfter w:w="221" w:type="dxa"/>
          <w:trHeight w:val="312"/>
        </w:trPr>
        <w:tc>
          <w:tcPr>
            <w:tcW w:w="971" w:type="dxa"/>
            <w:gridSpan w:val="3"/>
            <w:vMerge w:val="restart"/>
            <w:tcBorders>
              <w:top w:val="nil"/>
              <w:left w:val="single" w:sz="4" w:space="0" w:color="000000"/>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4603" w:type="dxa"/>
            <w:vMerge w:val="restart"/>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5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38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single" w:sz="4" w:space="0" w:color="000000"/>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65"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r>
      <w:tr w:rsidR="00CE5647">
        <w:trPr>
          <w:trHeight w:val="233"/>
        </w:trPr>
        <w:tc>
          <w:tcPr>
            <w:tcW w:w="971" w:type="dxa"/>
            <w:gridSpan w:val="3"/>
            <w:vMerge/>
            <w:tcBorders>
              <w:top w:val="nil"/>
              <w:left w:val="single" w:sz="4" w:space="0" w:color="000000"/>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4603"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5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38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single" w:sz="4" w:space="0" w:color="000000"/>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65"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18"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22"/>
              </w:rPr>
            </w:pPr>
          </w:p>
        </w:tc>
      </w:tr>
      <w:tr w:rsidR="00CE5647">
        <w:trPr>
          <w:trHeight w:val="233"/>
        </w:trPr>
        <w:tc>
          <w:tcPr>
            <w:tcW w:w="971" w:type="dxa"/>
            <w:gridSpan w:val="3"/>
            <w:vMerge/>
            <w:tcBorders>
              <w:top w:val="nil"/>
              <w:left w:val="single" w:sz="4" w:space="0" w:color="000000"/>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4603"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5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38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single" w:sz="4" w:space="0" w:color="000000"/>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99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65"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18"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r>
      <w:tr w:rsidR="00CE5647">
        <w:trPr>
          <w:trHeight w:val="233"/>
        </w:trPr>
        <w:tc>
          <w:tcPr>
            <w:tcW w:w="5574" w:type="dxa"/>
            <w:gridSpan w:val="4"/>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597"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w:t>
            </w:r>
          </w:p>
        </w:tc>
        <w:tc>
          <w:tcPr>
            <w:tcW w:w="1389"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w:t>
            </w:r>
          </w:p>
        </w:tc>
        <w:tc>
          <w:tcPr>
            <w:tcW w:w="997"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w:t>
            </w:r>
          </w:p>
        </w:tc>
        <w:tc>
          <w:tcPr>
            <w:tcW w:w="997"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w:t>
            </w:r>
          </w:p>
        </w:tc>
        <w:tc>
          <w:tcPr>
            <w:tcW w:w="997"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w:t>
            </w:r>
          </w:p>
        </w:tc>
        <w:tc>
          <w:tcPr>
            <w:tcW w:w="997"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w:t>
            </w:r>
          </w:p>
        </w:tc>
        <w:tc>
          <w:tcPr>
            <w:tcW w:w="1065"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7</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5574" w:type="dxa"/>
            <w:gridSpan w:val="4"/>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2,277.43</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2,200.36</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77.07</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2,011.77</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1,934.70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77.07</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工会事务</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市场监督管理事务</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2,006.65</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1,929.58</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77.07</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2013805</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市场秩序执法</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176.78</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176.78</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2013850</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事业运行</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774.28</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697.21</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77.07</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2013899</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其他市场监督管理事务</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1,055.60</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1,055.60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238.06</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238.06</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207.33</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207.33</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2080502</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事业单位离退休</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149.74</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149.74</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机关事业单位基本养老保险缴费支出</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57.60</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57.60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20808</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抚恤</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lastRenderedPageBreak/>
              <w:t>2080801</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死亡抚恤</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210</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27.61</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27.61</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27.61</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27.61</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971"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2101102</w:t>
            </w:r>
          </w:p>
        </w:tc>
        <w:tc>
          <w:tcPr>
            <w:tcW w:w="4603"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事业单位医疗</w:t>
            </w:r>
          </w:p>
        </w:tc>
        <w:tc>
          <w:tcPr>
            <w:tcW w:w="15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27.61</w:t>
            </w:r>
          </w:p>
        </w:tc>
        <w:tc>
          <w:tcPr>
            <w:tcW w:w="13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27.61</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99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65"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18" w:type="dxa"/>
            <w:vAlign w:val="center"/>
          </w:tcPr>
          <w:p w:rsidR="00CE5647" w:rsidRDefault="00CE5647">
            <w:pPr>
              <w:widowControl/>
              <w:jc w:val="left"/>
              <w:rPr>
                <w:rFonts w:eastAsia="Times New Roman"/>
                <w:kern w:val="0"/>
                <w:sz w:val="20"/>
                <w:szCs w:val="20"/>
              </w:rPr>
            </w:pPr>
          </w:p>
        </w:tc>
      </w:tr>
      <w:tr w:rsidR="00CE5647">
        <w:trPr>
          <w:trHeight w:val="233"/>
        </w:trPr>
        <w:tc>
          <w:tcPr>
            <w:tcW w:w="13616" w:type="dxa"/>
            <w:gridSpan w:val="11"/>
            <w:tcBorders>
              <w:top w:val="nil"/>
              <w:left w:val="nil"/>
              <w:bottom w:val="nil"/>
              <w:right w:val="nil"/>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注：本表反映部门本年度取得的各项收入情况。</w:t>
            </w:r>
          </w:p>
        </w:tc>
        <w:tc>
          <w:tcPr>
            <w:tcW w:w="218" w:type="dxa"/>
            <w:vAlign w:val="center"/>
          </w:tcPr>
          <w:p w:rsidR="00CE5647" w:rsidRDefault="00CE5647">
            <w:pPr>
              <w:widowControl/>
              <w:jc w:val="left"/>
              <w:rPr>
                <w:rFonts w:eastAsia="Times New Roman"/>
                <w:kern w:val="0"/>
                <w:sz w:val="20"/>
                <w:szCs w:val="20"/>
              </w:rPr>
            </w:pPr>
          </w:p>
        </w:tc>
      </w:tr>
    </w:tbl>
    <w:p w:rsidR="00CE5647" w:rsidRDefault="00CE5647">
      <w:pPr>
        <w:rPr>
          <w:rFonts w:ascii="仿宋_GB2312" w:eastAsia="仿宋_GB2312" w:hAnsi="仿宋_GB2312" w:cs="仿宋_GB2312"/>
          <w:sz w:val="32"/>
          <w:szCs w:val="32"/>
        </w:rPr>
        <w:sectPr w:rsidR="00CE5647">
          <w:pgSz w:w="16838" w:h="11906" w:orient="landscape"/>
          <w:pgMar w:top="1800" w:right="1440" w:bottom="1800" w:left="1440" w:header="720" w:footer="720" w:gutter="0"/>
          <w:pgNumType w:fmt="numberInDash"/>
          <w:cols w:space="720"/>
          <w:docGrid w:type="lines" w:linePitch="312"/>
        </w:sectPr>
      </w:pPr>
    </w:p>
    <w:tbl>
      <w:tblPr>
        <w:tblW w:w="13340" w:type="dxa"/>
        <w:tblInd w:w="108" w:type="dxa"/>
        <w:tblLook w:val="04A0" w:firstRow="1" w:lastRow="0" w:firstColumn="1" w:lastColumn="0" w:noHBand="0" w:noVBand="1"/>
      </w:tblPr>
      <w:tblGrid>
        <w:gridCol w:w="404"/>
        <w:gridCol w:w="311"/>
        <w:gridCol w:w="271"/>
        <w:gridCol w:w="4716"/>
        <w:gridCol w:w="1587"/>
        <w:gridCol w:w="1587"/>
        <w:gridCol w:w="1587"/>
        <w:gridCol w:w="1009"/>
        <w:gridCol w:w="1009"/>
        <w:gridCol w:w="1009"/>
        <w:gridCol w:w="222"/>
      </w:tblGrid>
      <w:tr w:rsidR="00CE5647">
        <w:trPr>
          <w:gridAfter w:val="1"/>
          <w:wAfter w:w="36" w:type="dxa"/>
          <w:trHeight w:val="390"/>
        </w:trPr>
        <w:tc>
          <w:tcPr>
            <w:tcW w:w="13304" w:type="dxa"/>
            <w:gridSpan w:val="10"/>
            <w:tcBorders>
              <w:top w:val="nil"/>
              <w:left w:val="nil"/>
              <w:bottom w:val="nil"/>
              <w:right w:val="nil"/>
            </w:tcBorders>
            <w:noWrap/>
            <w:vAlign w:val="bottom"/>
          </w:tcPr>
          <w:p w:rsidR="00CE5647" w:rsidRDefault="004830D3">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支出决算表</w:t>
            </w:r>
          </w:p>
        </w:tc>
      </w:tr>
      <w:tr w:rsidR="00CE5647">
        <w:trPr>
          <w:gridAfter w:val="1"/>
          <w:wAfter w:w="36" w:type="dxa"/>
          <w:trHeight w:val="255"/>
        </w:trPr>
        <w:tc>
          <w:tcPr>
            <w:tcW w:w="331"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30"/>
                <w:szCs w:val="30"/>
              </w:rPr>
            </w:pPr>
          </w:p>
        </w:tc>
        <w:tc>
          <w:tcPr>
            <w:tcW w:w="255"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214"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4716"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587"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587"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4614" w:type="dxa"/>
            <w:gridSpan w:val="4"/>
            <w:tcBorders>
              <w:top w:val="nil"/>
              <w:left w:val="nil"/>
              <w:bottom w:val="nil"/>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03</w:t>
            </w:r>
            <w:r>
              <w:rPr>
                <w:rFonts w:ascii="宋体" w:hAnsi="宋体" w:cs="Arial" w:hint="eastAsia"/>
                <w:color w:val="000000"/>
                <w:kern w:val="0"/>
                <w:sz w:val="20"/>
                <w:szCs w:val="20"/>
              </w:rPr>
              <w:t>表</w:t>
            </w:r>
          </w:p>
        </w:tc>
      </w:tr>
      <w:tr w:rsidR="00CE5647">
        <w:trPr>
          <w:gridAfter w:val="1"/>
          <w:wAfter w:w="36" w:type="dxa"/>
          <w:trHeight w:val="255"/>
        </w:trPr>
        <w:tc>
          <w:tcPr>
            <w:tcW w:w="8690" w:type="dxa"/>
            <w:gridSpan w:val="6"/>
            <w:tcBorders>
              <w:top w:val="nil"/>
              <w:left w:val="nil"/>
              <w:bottom w:val="single" w:sz="4" w:space="0" w:color="000000"/>
              <w:right w:val="nil"/>
            </w:tcBorders>
            <w:noWrap/>
            <w:vAlign w:val="bottom"/>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部门：许昌市质量技术监督检验测试中心</w:t>
            </w:r>
          </w:p>
        </w:tc>
        <w:tc>
          <w:tcPr>
            <w:tcW w:w="1587" w:type="dxa"/>
            <w:tcBorders>
              <w:top w:val="nil"/>
              <w:left w:val="nil"/>
              <w:bottom w:val="nil"/>
              <w:right w:val="nil"/>
            </w:tcBorders>
            <w:noWrap/>
            <w:vAlign w:val="bottom"/>
          </w:tcPr>
          <w:p w:rsidR="00CE5647" w:rsidRDefault="00CE5647">
            <w:pPr>
              <w:widowControl/>
              <w:jc w:val="left"/>
              <w:rPr>
                <w:rFonts w:ascii="宋体" w:hAnsi="宋体" w:cs="Arial"/>
                <w:color w:val="000000"/>
                <w:kern w:val="0"/>
                <w:sz w:val="20"/>
                <w:szCs w:val="20"/>
              </w:rPr>
            </w:pPr>
          </w:p>
        </w:tc>
        <w:tc>
          <w:tcPr>
            <w:tcW w:w="3027" w:type="dxa"/>
            <w:gridSpan w:val="3"/>
            <w:tcBorders>
              <w:top w:val="nil"/>
              <w:left w:val="nil"/>
              <w:bottom w:val="single" w:sz="4" w:space="0" w:color="000000"/>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E5647">
        <w:trPr>
          <w:gridAfter w:val="1"/>
          <w:wAfter w:w="36" w:type="dxa"/>
          <w:trHeight w:val="308"/>
        </w:trPr>
        <w:tc>
          <w:tcPr>
            <w:tcW w:w="5516" w:type="dxa"/>
            <w:gridSpan w:val="4"/>
            <w:tcBorders>
              <w:top w:val="single" w:sz="4" w:space="0" w:color="000000"/>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58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本年支出合计</w:t>
            </w:r>
          </w:p>
        </w:tc>
        <w:tc>
          <w:tcPr>
            <w:tcW w:w="158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587" w:type="dxa"/>
            <w:vMerge w:val="restart"/>
            <w:tcBorders>
              <w:top w:val="single" w:sz="4" w:space="0" w:color="000000"/>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项目支出</w:t>
            </w:r>
          </w:p>
        </w:tc>
        <w:tc>
          <w:tcPr>
            <w:tcW w:w="1009"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上缴上级支出</w:t>
            </w:r>
          </w:p>
        </w:tc>
        <w:tc>
          <w:tcPr>
            <w:tcW w:w="1009"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经营支出</w:t>
            </w:r>
          </w:p>
        </w:tc>
        <w:tc>
          <w:tcPr>
            <w:tcW w:w="1009"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对附属单位补助支出</w:t>
            </w:r>
          </w:p>
        </w:tc>
      </w:tr>
      <w:tr w:rsidR="00CE5647">
        <w:trPr>
          <w:gridAfter w:val="1"/>
          <w:wAfter w:w="36" w:type="dxa"/>
          <w:trHeight w:val="312"/>
        </w:trPr>
        <w:tc>
          <w:tcPr>
            <w:tcW w:w="800" w:type="dxa"/>
            <w:gridSpan w:val="3"/>
            <w:vMerge w:val="restart"/>
            <w:tcBorders>
              <w:top w:val="nil"/>
              <w:left w:val="single" w:sz="4" w:space="0" w:color="000000"/>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4716" w:type="dxa"/>
            <w:vMerge w:val="restart"/>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58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58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587" w:type="dxa"/>
            <w:vMerge/>
            <w:tcBorders>
              <w:top w:val="single" w:sz="4" w:space="0" w:color="000000"/>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0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0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0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r>
      <w:tr w:rsidR="00CE5647">
        <w:trPr>
          <w:trHeight w:val="165"/>
        </w:trPr>
        <w:tc>
          <w:tcPr>
            <w:tcW w:w="800" w:type="dxa"/>
            <w:gridSpan w:val="3"/>
            <w:vMerge/>
            <w:tcBorders>
              <w:top w:val="nil"/>
              <w:left w:val="single" w:sz="4" w:space="0" w:color="000000"/>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4716"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58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58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587" w:type="dxa"/>
            <w:vMerge/>
            <w:tcBorders>
              <w:top w:val="single" w:sz="4" w:space="0" w:color="000000"/>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0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0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0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36"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22"/>
              </w:rPr>
            </w:pPr>
          </w:p>
        </w:tc>
      </w:tr>
      <w:tr w:rsidR="00CE5647">
        <w:trPr>
          <w:trHeight w:val="165"/>
        </w:trPr>
        <w:tc>
          <w:tcPr>
            <w:tcW w:w="800" w:type="dxa"/>
            <w:gridSpan w:val="3"/>
            <w:vMerge/>
            <w:tcBorders>
              <w:top w:val="nil"/>
              <w:left w:val="single" w:sz="4" w:space="0" w:color="000000"/>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4716"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58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58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587" w:type="dxa"/>
            <w:vMerge/>
            <w:tcBorders>
              <w:top w:val="single" w:sz="4" w:space="0" w:color="000000"/>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0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0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0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36"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r>
      <w:tr w:rsidR="00CE5647">
        <w:trPr>
          <w:trHeight w:val="285"/>
        </w:trPr>
        <w:tc>
          <w:tcPr>
            <w:tcW w:w="5516" w:type="dxa"/>
            <w:gridSpan w:val="4"/>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587"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w:t>
            </w:r>
          </w:p>
        </w:tc>
        <w:tc>
          <w:tcPr>
            <w:tcW w:w="1587"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w:t>
            </w:r>
          </w:p>
        </w:tc>
        <w:tc>
          <w:tcPr>
            <w:tcW w:w="1587"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w:t>
            </w:r>
          </w:p>
        </w:tc>
        <w:tc>
          <w:tcPr>
            <w:tcW w:w="1009"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w:t>
            </w:r>
          </w:p>
        </w:tc>
        <w:tc>
          <w:tcPr>
            <w:tcW w:w="1009"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w:t>
            </w:r>
          </w:p>
        </w:tc>
        <w:tc>
          <w:tcPr>
            <w:tcW w:w="1009"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5516" w:type="dxa"/>
            <w:gridSpan w:val="4"/>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3,410.94</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1,182.79</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2,228.16</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3,151.52</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923.36</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2,228.16</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工会事务</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市场监督管理事务</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3,146.40</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918.24</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2,228.16</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2013805</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市场秩序执法</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176.78</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176.78</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2013810</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质量基础</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1,286.10</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1,286.10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2013850</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事业运行</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741.46</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741.46</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2013899</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其他市场监督管理事务</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942.05</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942.05</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230.93</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230.93</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200.21</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200.21</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2080502</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事业单位离退休</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140.53</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140.53</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机关事业单位基本养老保险缴费支出</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59.68</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59.68</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20808</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抚恤</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2080801</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死亡抚恤</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lastRenderedPageBreak/>
              <w:t>210</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80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2101102</w:t>
            </w:r>
          </w:p>
        </w:tc>
        <w:tc>
          <w:tcPr>
            <w:tcW w:w="4716"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事业单位医疗</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15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285"/>
        </w:trPr>
        <w:tc>
          <w:tcPr>
            <w:tcW w:w="13304" w:type="dxa"/>
            <w:gridSpan w:val="10"/>
            <w:tcBorders>
              <w:top w:val="nil"/>
              <w:left w:val="nil"/>
              <w:bottom w:val="nil"/>
              <w:right w:val="nil"/>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注：本表反映部门本年度各项支出情况。</w:t>
            </w:r>
          </w:p>
        </w:tc>
        <w:tc>
          <w:tcPr>
            <w:tcW w:w="36" w:type="dxa"/>
            <w:vAlign w:val="center"/>
          </w:tcPr>
          <w:p w:rsidR="00CE5647" w:rsidRDefault="00CE5647">
            <w:pPr>
              <w:widowControl/>
              <w:jc w:val="left"/>
              <w:rPr>
                <w:rFonts w:eastAsia="Times New Roman"/>
                <w:kern w:val="0"/>
                <w:sz w:val="20"/>
                <w:szCs w:val="20"/>
              </w:rPr>
            </w:pPr>
          </w:p>
        </w:tc>
      </w:tr>
    </w:tbl>
    <w:p w:rsidR="00CE5647" w:rsidRDefault="00CE5647">
      <w:pPr>
        <w:rPr>
          <w:rFonts w:ascii="仿宋_GB2312" w:eastAsia="仿宋_GB2312" w:hAnsi="仿宋_GB2312" w:cs="仿宋_GB2312"/>
          <w:sz w:val="32"/>
          <w:szCs w:val="32"/>
        </w:rPr>
        <w:sectPr w:rsidR="00CE5647">
          <w:pgSz w:w="16838" w:h="11906" w:orient="landscape"/>
          <w:pgMar w:top="1800" w:right="1440" w:bottom="1800" w:left="1440" w:header="720" w:footer="720" w:gutter="0"/>
          <w:pgNumType w:fmt="numberInDash"/>
          <w:cols w:space="720"/>
          <w:docGrid w:type="lines" w:linePitch="312"/>
        </w:sectPr>
      </w:pPr>
    </w:p>
    <w:tbl>
      <w:tblPr>
        <w:tblW w:w="13776" w:type="dxa"/>
        <w:tblInd w:w="108" w:type="dxa"/>
        <w:tblLook w:val="04A0" w:firstRow="1" w:lastRow="0" w:firstColumn="1" w:lastColumn="0" w:noHBand="0" w:noVBand="1"/>
      </w:tblPr>
      <w:tblGrid>
        <w:gridCol w:w="2830"/>
        <w:gridCol w:w="492"/>
        <w:gridCol w:w="1347"/>
        <w:gridCol w:w="4028"/>
        <w:gridCol w:w="492"/>
        <w:gridCol w:w="1096"/>
        <w:gridCol w:w="1347"/>
        <w:gridCol w:w="1038"/>
        <w:gridCol w:w="1086"/>
        <w:gridCol w:w="222"/>
      </w:tblGrid>
      <w:tr w:rsidR="00CE5647">
        <w:trPr>
          <w:gridAfter w:val="1"/>
          <w:wAfter w:w="36" w:type="dxa"/>
          <w:trHeight w:val="390"/>
        </w:trPr>
        <w:tc>
          <w:tcPr>
            <w:tcW w:w="13740" w:type="dxa"/>
            <w:gridSpan w:val="9"/>
            <w:tcBorders>
              <w:top w:val="nil"/>
              <w:left w:val="nil"/>
              <w:bottom w:val="nil"/>
              <w:right w:val="nil"/>
            </w:tcBorders>
            <w:noWrap/>
            <w:vAlign w:val="bottom"/>
          </w:tcPr>
          <w:p w:rsidR="00CE5647" w:rsidRDefault="004830D3">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财政拨款收入支出决算总表</w:t>
            </w:r>
          </w:p>
        </w:tc>
      </w:tr>
      <w:tr w:rsidR="00CE5647">
        <w:trPr>
          <w:gridAfter w:val="1"/>
          <w:wAfter w:w="36" w:type="dxa"/>
          <w:trHeight w:val="255"/>
        </w:trPr>
        <w:tc>
          <w:tcPr>
            <w:tcW w:w="2830"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30"/>
                <w:szCs w:val="30"/>
              </w:rPr>
            </w:pPr>
          </w:p>
        </w:tc>
        <w:tc>
          <w:tcPr>
            <w:tcW w:w="492"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347"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4028"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492"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4551" w:type="dxa"/>
            <w:gridSpan w:val="4"/>
            <w:tcBorders>
              <w:top w:val="nil"/>
              <w:left w:val="nil"/>
              <w:bottom w:val="nil"/>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04</w:t>
            </w:r>
            <w:r>
              <w:rPr>
                <w:rFonts w:ascii="宋体" w:hAnsi="宋体" w:cs="Arial" w:hint="eastAsia"/>
                <w:color w:val="000000"/>
                <w:kern w:val="0"/>
                <w:sz w:val="20"/>
                <w:szCs w:val="20"/>
              </w:rPr>
              <w:t>表</w:t>
            </w:r>
          </w:p>
        </w:tc>
      </w:tr>
      <w:tr w:rsidR="00CE5647">
        <w:trPr>
          <w:gridAfter w:val="1"/>
          <w:wAfter w:w="36" w:type="dxa"/>
          <w:trHeight w:val="255"/>
        </w:trPr>
        <w:tc>
          <w:tcPr>
            <w:tcW w:w="8697" w:type="dxa"/>
            <w:gridSpan w:val="4"/>
            <w:tcBorders>
              <w:top w:val="nil"/>
              <w:left w:val="nil"/>
              <w:bottom w:val="single" w:sz="4" w:space="0" w:color="000000"/>
              <w:right w:val="nil"/>
            </w:tcBorders>
            <w:noWrap/>
            <w:vAlign w:val="bottom"/>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部门：许昌市质量技术监督检验测试中心</w:t>
            </w:r>
          </w:p>
        </w:tc>
        <w:tc>
          <w:tcPr>
            <w:tcW w:w="492" w:type="dxa"/>
            <w:tcBorders>
              <w:top w:val="nil"/>
              <w:left w:val="nil"/>
              <w:bottom w:val="nil"/>
              <w:right w:val="nil"/>
            </w:tcBorders>
            <w:noWrap/>
            <w:vAlign w:val="bottom"/>
          </w:tcPr>
          <w:p w:rsidR="00CE5647" w:rsidRDefault="00CE5647">
            <w:pPr>
              <w:widowControl/>
              <w:jc w:val="left"/>
              <w:rPr>
                <w:rFonts w:ascii="宋体" w:hAnsi="宋体" w:cs="Arial"/>
                <w:color w:val="000000"/>
                <w:kern w:val="0"/>
                <w:sz w:val="20"/>
                <w:szCs w:val="20"/>
              </w:rPr>
            </w:pPr>
          </w:p>
        </w:tc>
        <w:tc>
          <w:tcPr>
            <w:tcW w:w="4551" w:type="dxa"/>
            <w:gridSpan w:val="4"/>
            <w:tcBorders>
              <w:top w:val="nil"/>
              <w:left w:val="nil"/>
              <w:bottom w:val="single" w:sz="4" w:space="0" w:color="000000"/>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E5647">
        <w:trPr>
          <w:gridAfter w:val="1"/>
          <w:wAfter w:w="36" w:type="dxa"/>
          <w:trHeight w:val="308"/>
        </w:trPr>
        <w:tc>
          <w:tcPr>
            <w:tcW w:w="4669" w:type="dxa"/>
            <w:gridSpan w:val="3"/>
            <w:tcBorders>
              <w:top w:val="single" w:sz="4" w:space="0" w:color="000000"/>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收</w:t>
            </w:r>
            <w:r>
              <w:rPr>
                <w:rFonts w:ascii="宋体" w:hAnsi="宋体" w:cs="Arial" w:hint="eastAsia"/>
                <w:color w:val="000000"/>
                <w:kern w:val="0"/>
                <w:sz w:val="22"/>
              </w:rPr>
              <w:t xml:space="preserve">     </w:t>
            </w:r>
            <w:r>
              <w:rPr>
                <w:rFonts w:ascii="宋体" w:hAnsi="宋体" w:cs="Arial" w:hint="eastAsia"/>
                <w:color w:val="000000"/>
                <w:kern w:val="0"/>
                <w:sz w:val="22"/>
              </w:rPr>
              <w:t>入</w:t>
            </w:r>
          </w:p>
        </w:tc>
        <w:tc>
          <w:tcPr>
            <w:tcW w:w="9071" w:type="dxa"/>
            <w:gridSpan w:val="6"/>
            <w:tcBorders>
              <w:top w:val="single" w:sz="4" w:space="0" w:color="000000"/>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支</w:t>
            </w:r>
            <w:r>
              <w:rPr>
                <w:rFonts w:ascii="宋体" w:hAnsi="宋体" w:cs="Arial" w:hint="eastAsia"/>
                <w:color w:val="000000"/>
                <w:kern w:val="0"/>
                <w:sz w:val="22"/>
              </w:rPr>
              <w:t xml:space="preserve">     </w:t>
            </w:r>
            <w:r>
              <w:rPr>
                <w:rFonts w:ascii="宋体" w:hAnsi="宋体" w:cs="Arial" w:hint="eastAsia"/>
                <w:color w:val="000000"/>
                <w:kern w:val="0"/>
                <w:sz w:val="22"/>
              </w:rPr>
              <w:t>出</w:t>
            </w:r>
          </w:p>
        </w:tc>
      </w:tr>
      <w:tr w:rsidR="00CE5647">
        <w:trPr>
          <w:gridAfter w:val="1"/>
          <w:wAfter w:w="36" w:type="dxa"/>
          <w:trHeight w:val="312"/>
        </w:trPr>
        <w:tc>
          <w:tcPr>
            <w:tcW w:w="2830" w:type="dxa"/>
            <w:vMerge w:val="restart"/>
            <w:tcBorders>
              <w:top w:val="nil"/>
              <w:left w:val="single" w:sz="4" w:space="0" w:color="000000"/>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492"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34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金额</w:t>
            </w:r>
          </w:p>
        </w:tc>
        <w:tc>
          <w:tcPr>
            <w:tcW w:w="4028"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492"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行次</w:t>
            </w:r>
          </w:p>
        </w:tc>
        <w:tc>
          <w:tcPr>
            <w:tcW w:w="1080" w:type="dxa"/>
            <w:vMerge w:val="restart"/>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34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一般公共预算财政拨款</w:t>
            </w:r>
          </w:p>
        </w:tc>
        <w:tc>
          <w:tcPr>
            <w:tcW w:w="1038"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政府性基金预算财政拨款</w:t>
            </w:r>
          </w:p>
        </w:tc>
        <w:tc>
          <w:tcPr>
            <w:tcW w:w="1086"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国有资本经营预算财政拨款</w:t>
            </w:r>
          </w:p>
        </w:tc>
      </w:tr>
      <w:tr w:rsidR="00CE5647">
        <w:trPr>
          <w:trHeight w:val="615"/>
        </w:trPr>
        <w:tc>
          <w:tcPr>
            <w:tcW w:w="2830" w:type="dxa"/>
            <w:vMerge/>
            <w:tcBorders>
              <w:top w:val="nil"/>
              <w:left w:val="single" w:sz="4" w:space="0" w:color="000000"/>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492"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34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4028"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492"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80"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34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38"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86"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36"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22"/>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 xml:space="preserve">　</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2,200.36</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一、一般公共服务支出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33</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3,074.44</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3,074.44</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二、外交支出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34</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18"/>
                <w:szCs w:val="18"/>
              </w:rPr>
            </w:pPr>
            <w:r>
              <w:rPr>
                <w:rFonts w:ascii="宋体" w:hAnsi="宋体" w:cs="Arial" w:hint="eastAsia"/>
                <w:color w:val="000000"/>
                <w:kern w:val="0"/>
                <w:sz w:val="18"/>
                <w:szCs w:val="18"/>
              </w:rPr>
              <w:t>三、国有资本经营财政拨款</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三、国防支出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35</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四、公共安全支出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36</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五、教育支出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37</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六、科学技术支出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38</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7</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七、文化旅游体育与传媒支出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39</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8</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八、社会保障和就业支出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40</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230.93</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230.93</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9</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九、卫生健康支出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41</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十、节能环保支出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42</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11</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十一、城乡社区支出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43</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12</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十二、农林水支出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44</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13</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十三、交通运输支出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45</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14</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十四、资源勘探工业信息等支出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46</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15</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十五、商业服务业等支出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47</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lastRenderedPageBreak/>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16</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十六、金融支出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48</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17</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十七、援助其他地区支出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49</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18</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十八、自然资源海洋气象等支出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50</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19</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十九、住房保障支出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51</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二十、粮油物资储备支出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52</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21</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二十一、国有资本经营预算支出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53</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22</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二十二、灾害防治及应急管理支出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54</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23</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二十三、其他支出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55</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24</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二十四、债务还本支出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56</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25</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二十五、债务付息支出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57</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26</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二十六、抗疫特别国债安排的支出</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58</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b/>
                <w:bCs/>
                <w:color w:val="000000"/>
                <w:kern w:val="0"/>
                <w:sz w:val="22"/>
              </w:rPr>
            </w:pPr>
            <w:r>
              <w:rPr>
                <w:rFonts w:ascii="宋体" w:hAnsi="宋体" w:cs="Arial" w:hint="eastAsia"/>
                <w:b/>
                <w:bCs/>
                <w:color w:val="000000"/>
                <w:kern w:val="0"/>
                <w:sz w:val="22"/>
              </w:rPr>
              <w:t>本年收入合计</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27</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2,200.36</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b/>
                <w:bCs/>
                <w:color w:val="000000"/>
                <w:kern w:val="0"/>
                <w:sz w:val="22"/>
              </w:rPr>
            </w:pPr>
            <w:r>
              <w:rPr>
                <w:rFonts w:ascii="宋体" w:hAnsi="宋体" w:cs="Arial" w:hint="eastAsia"/>
                <w:b/>
                <w:bCs/>
                <w:color w:val="000000"/>
                <w:kern w:val="0"/>
                <w:sz w:val="22"/>
              </w:rPr>
              <w:t>本年支出合计</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59</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3,333.87</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3,333.87</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18"/>
                <w:szCs w:val="18"/>
              </w:rPr>
            </w:pPr>
            <w:r>
              <w:rPr>
                <w:rFonts w:ascii="宋体" w:hAnsi="宋体" w:cs="Arial" w:hint="eastAsia"/>
                <w:color w:val="000000"/>
                <w:kern w:val="0"/>
                <w:sz w:val="18"/>
                <w:szCs w:val="18"/>
              </w:rPr>
              <w:t>年初财政拨款结转和结余</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28</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1,670.96</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年末财政拨款结转和结余</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60</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537.45</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537.45</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r>
              <w:rPr>
                <w:rFonts w:ascii="宋体" w:hAnsi="宋体" w:cs="Arial" w:hint="eastAsia"/>
                <w:color w:val="000000"/>
                <w:kern w:val="0"/>
                <w:sz w:val="18"/>
                <w:szCs w:val="18"/>
              </w:rPr>
              <w:t>一般公共预算财政拨款</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29</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1,670.96</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61</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r>
              <w:rPr>
                <w:rFonts w:ascii="宋体" w:hAnsi="宋体" w:cs="Arial" w:hint="eastAsia"/>
                <w:color w:val="000000"/>
                <w:kern w:val="0"/>
                <w:sz w:val="18"/>
                <w:szCs w:val="18"/>
              </w:rPr>
              <w:t>政府性基金预算财政拨款</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30</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62</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r>
              <w:rPr>
                <w:rFonts w:ascii="宋体" w:hAnsi="宋体" w:cs="Arial" w:hint="eastAsia"/>
                <w:color w:val="000000"/>
                <w:kern w:val="0"/>
                <w:sz w:val="18"/>
                <w:szCs w:val="18"/>
              </w:rPr>
              <w:t>国有资本经营预算财政拨款</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31</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63</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2830" w:type="dxa"/>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492" w:type="dxa"/>
            <w:tcBorders>
              <w:top w:val="nil"/>
              <w:left w:val="nil"/>
              <w:bottom w:val="single" w:sz="8"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32</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3,871.32</w:t>
            </w:r>
          </w:p>
        </w:tc>
        <w:tc>
          <w:tcPr>
            <w:tcW w:w="4028"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b/>
                <w:bCs/>
                <w:color w:val="000000"/>
                <w:kern w:val="0"/>
                <w:sz w:val="22"/>
              </w:rPr>
            </w:pPr>
            <w:r>
              <w:rPr>
                <w:rFonts w:ascii="宋体" w:hAnsi="宋体" w:cs="Arial" w:hint="eastAsia"/>
                <w:b/>
                <w:bCs/>
                <w:color w:val="000000"/>
                <w:kern w:val="0"/>
                <w:sz w:val="22"/>
              </w:rPr>
              <w:t>总计</w:t>
            </w:r>
          </w:p>
        </w:tc>
        <w:tc>
          <w:tcPr>
            <w:tcW w:w="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64</w:t>
            </w:r>
          </w:p>
        </w:tc>
        <w:tc>
          <w:tcPr>
            <w:tcW w:w="108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3,871.32</w:t>
            </w:r>
          </w:p>
        </w:tc>
        <w:tc>
          <w:tcPr>
            <w:tcW w:w="134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3,871.32</w:t>
            </w:r>
          </w:p>
        </w:tc>
        <w:tc>
          <w:tcPr>
            <w:tcW w:w="1038"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8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36" w:type="dxa"/>
            <w:vAlign w:val="center"/>
          </w:tcPr>
          <w:p w:rsidR="00CE5647" w:rsidRDefault="00CE5647">
            <w:pPr>
              <w:widowControl/>
              <w:jc w:val="left"/>
              <w:rPr>
                <w:rFonts w:eastAsia="Times New Roman"/>
                <w:kern w:val="0"/>
                <w:sz w:val="20"/>
                <w:szCs w:val="20"/>
              </w:rPr>
            </w:pPr>
          </w:p>
        </w:tc>
      </w:tr>
      <w:tr w:rsidR="00CE5647">
        <w:trPr>
          <w:trHeight w:val="308"/>
        </w:trPr>
        <w:tc>
          <w:tcPr>
            <w:tcW w:w="13740" w:type="dxa"/>
            <w:gridSpan w:val="9"/>
            <w:tcBorders>
              <w:top w:val="nil"/>
              <w:left w:val="nil"/>
              <w:bottom w:val="nil"/>
              <w:right w:val="nil"/>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注：本表反映部门本年度一般公共预算财政拨款、政府性基金预算财政拨款和国有资本经营预算财政拨款的总收支和年末结转结余情况。</w:t>
            </w:r>
          </w:p>
        </w:tc>
        <w:tc>
          <w:tcPr>
            <w:tcW w:w="36" w:type="dxa"/>
            <w:vAlign w:val="center"/>
          </w:tcPr>
          <w:p w:rsidR="00CE5647" w:rsidRDefault="00CE5647">
            <w:pPr>
              <w:widowControl/>
              <w:jc w:val="left"/>
              <w:rPr>
                <w:rFonts w:eastAsia="Times New Roman"/>
                <w:kern w:val="0"/>
                <w:sz w:val="20"/>
                <w:szCs w:val="20"/>
              </w:rPr>
            </w:pPr>
          </w:p>
        </w:tc>
      </w:tr>
    </w:tbl>
    <w:p w:rsidR="00CE5647" w:rsidRDefault="00CE5647">
      <w:pPr>
        <w:rPr>
          <w:rFonts w:ascii="仿宋_GB2312" w:eastAsia="仿宋_GB2312" w:hAnsi="仿宋_GB2312" w:cs="仿宋_GB2312"/>
          <w:sz w:val="32"/>
          <w:szCs w:val="32"/>
        </w:rPr>
        <w:sectPr w:rsidR="00CE5647">
          <w:pgSz w:w="16838" w:h="11906" w:orient="landscape"/>
          <w:pgMar w:top="1800" w:right="1440" w:bottom="1800" w:left="1440" w:header="720" w:footer="720" w:gutter="0"/>
          <w:pgNumType w:fmt="numberInDash"/>
          <w:cols w:space="720"/>
          <w:docGrid w:type="lines" w:linePitch="312"/>
        </w:sectPr>
      </w:pPr>
    </w:p>
    <w:tbl>
      <w:tblPr>
        <w:tblW w:w="13652" w:type="dxa"/>
        <w:tblInd w:w="108" w:type="dxa"/>
        <w:tblLayout w:type="fixed"/>
        <w:tblLook w:val="04A0" w:firstRow="1" w:lastRow="0" w:firstColumn="1" w:lastColumn="0" w:noHBand="0" w:noVBand="1"/>
      </w:tblPr>
      <w:tblGrid>
        <w:gridCol w:w="401"/>
        <w:gridCol w:w="313"/>
        <w:gridCol w:w="756"/>
        <w:gridCol w:w="4637"/>
        <w:gridCol w:w="2481"/>
        <w:gridCol w:w="2537"/>
        <w:gridCol w:w="2291"/>
        <w:gridCol w:w="236"/>
      </w:tblGrid>
      <w:tr w:rsidR="00CE5647">
        <w:trPr>
          <w:gridAfter w:val="1"/>
          <w:wAfter w:w="236" w:type="dxa"/>
          <w:trHeight w:val="390"/>
        </w:trPr>
        <w:tc>
          <w:tcPr>
            <w:tcW w:w="13416" w:type="dxa"/>
            <w:gridSpan w:val="7"/>
            <w:tcBorders>
              <w:top w:val="nil"/>
              <w:left w:val="nil"/>
              <w:bottom w:val="nil"/>
              <w:right w:val="nil"/>
            </w:tcBorders>
            <w:noWrap/>
            <w:vAlign w:val="bottom"/>
          </w:tcPr>
          <w:p w:rsidR="00CE5647" w:rsidRDefault="004830D3">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一般公共预算财政拨款支出决算表</w:t>
            </w:r>
          </w:p>
        </w:tc>
      </w:tr>
      <w:tr w:rsidR="00CE5647">
        <w:trPr>
          <w:gridAfter w:val="1"/>
          <w:wAfter w:w="236" w:type="dxa"/>
          <w:trHeight w:val="255"/>
        </w:trPr>
        <w:tc>
          <w:tcPr>
            <w:tcW w:w="401"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30"/>
                <w:szCs w:val="30"/>
              </w:rPr>
            </w:pPr>
          </w:p>
        </w:tc>
        <w:tc>
          <w:tcPr>
            <w:tcW w:w="313"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756"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4637"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2481"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4828" w:type="dxa"/>
            <w:gridSpan w:val="2"/>
            <w:tcBorders>
              <w:top w:val="nil"/>
              <w:left w:val="nil"/>
              <w:bottom w:val="nil"/>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05</w:t>
            </w:r>
            <w:r>
              <w:rPr>
                <w:rFonts w:ascii="宋体" w:hAnsi="宋体" w:cs="Arial" w:hint="eastAsia"/>
                <w:color w:val="000000"/>
                <w:kern w:val="0"/>
                <w:sz w:val="20"/>
                <w:szCs w:val="20"/>
              </w:rPr>
              <w:t>表</w:t>
            </w:r>
          </w:p>
        </w:tc>
      </w:tr>
      <w:tr w:rsidR="00CE5647">
        <w:trPr>
          <w:gridAfter w:val="1"/>
          <w:wAfter w:w="236" w:type="dxa"/>
          <w:trHeight w:val="255"/>
        </w:trPr>
        <w:tc>
          <w:tcPr>
            <w:tcW w:w="6107" w:type="dxa"/>
            <w:gridSpan w:val="4"/>
            <w:tcBorders>
              <w:top w:val="nil"/>
              <w:left w:val="nil"/>
              <w:bottom w:val="single" w:sz="4" w:space="0" w:color="000000"/>
              <w:right w:val="nil"/>
            </w:tcBorders>
            <w:noWrap/>
            <w:vAlign w:val="bottom"/>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部门：许昌市质量技术监督检验测试中心</w:t>
            </w:r>
          </w:p>
        </w:tc>
        <w:tc>
          <w:tcPr>
            <w:tcW w:w="2481" w:type="dxa"/>
            <w:tcBorders>
              <w:top w:val="nil"/>
              <w:left w:val="nil"/>
              <w:bottom w:val="nil"/>
              <w:right w:val="nil"/>
            </w:tcBorders>
            <w:noWrap/>
            <w:vAlign w:val="bottom"/>
          </w:tcPr>
          <w:p w:rsidR="00CE5647" w:rsidRDefault="00CE5647">
            <w:pPr>
              <w:widowControl/>
              <w:jc w:val="left"/>
              <w:rPr>
                <w:rFonts w:ascii="宋体" w:hAnsi="宋体" w:cs="Arial"/>
                <w:color w:val="000000"/>
                <w:kern w:val="0"/>
                <w:sz w:val="20"/>
                <w:szCs w:val="20"/>
              </w:rPr>
            </w:pPr>
          </w:p>
        </w:tc>
        <w:tc>
          <w:tcPr>
            <w:tcW w:w="4828" w:type="dxa"/>
            <w:gridSpan w:val="2"/>
            <w:tcBorders>
              <w:top w:val="nil"/>
              <w:left w:val="nil"/>
              <w:bottom w:val="single" w:sz="4" w:space="0" w:color="000000"/>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E5647">
        <w:trPr>
          <w:gridAfter w:val="1"/>
          <w:wAfter w:w="236" w:type="dxa"/>
          <w:trHeight w:val="308"/>
        </w:trPr>
        <w:tc>
          <w:tcPr>
            <w:tcW w:w="6107" w:type="dxa"/>
            <w:gridSpan w:val="4"/>
            <w:tcBorders>
              <w:top w:val="single" w:sz="4" w:space="0" w:color="000000"/>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7309" w:type="dxa"/>
            <w:gridSpan w:val="3"/>
            <w:tcBorders>
              <w:top w:val="single" w:sz="4" w:space="0" w:color="000000"/>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本年支出</w:t>
            </w:r>
          </w:p>
        </w:tc>
      </w:tr>
      <w:tr w:rsidR="00CE5647">
        <w:trPr>
          <w:gridAfter w:val="1"/>
          <w:wAfter w:w="236" w:type="dxa"/>
          <w:trHeight w:val="312"/>
        </w:trPr>
        <w:tc>
          <w:tcPr>
            <w:tcW w:w="1470" w:type="dxa"/>
            <w:gridSpan w:val="3"/>
            <w:vMerge w:val="restart"/>
            <w:tcBorders>
              <w:top w:val="nil"/>
              <w:left w:val="single" w:sz="4" w:space="0" w:color="000000"/>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4637" w:type="dxa"/>
            <w:vMerge w:val="restart"/>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2481"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253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2291"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项目支出</w:t>
            </w:r>
          </w:p>
        </w:tc>
      </w:tr>
      <w:tr w:rsidR="00CE5647">
        <w:trPr>
          <w:trHeight w:val="278"/>
        </w:trPr>
        <w:tc>
          <w:tcPr>
            <w:tcW w:w="1470" w:type="dxa"/>
            <w:gridSpan w:val="3"/>
            <w:vMerge/>
            <w:tcBorders>
              <w:top w:val="nil"/>
              <w:left w:val="single" w:sz="4" w:space="0" w:color="000000"/>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463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481"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53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291"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36"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22"/>
              </w:rPr>
            </w:pPr>
          </w:p>
        </w:tc>
      </w:tr>
      <w:tr w:rsidR="00CE5647">
        <w:trPr>
          <w:trHeight w:val="308"/>
        </w:trPr>
        <w:tc>
          <w:tcPr>
            <w:tcW w:w="1470" w:type="dxa"/>
            <w:gridSpan w:val="3"/>
            <w:vMerge/>
            <w:tcBorders>
              <w:top w:val="nil"/>
              <w:left w:val="single" w:sz="4" w:space="0" w:color="000000"/>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463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481"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53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291"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36"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r>
      <w:tr w:rsidR="00CE5647">
        <w:trPr>
          <w:trHeight w:val="308"/>
        </w:trPr>
        <w:tc>
          <w:tcPr>
            <w:tcW w:w="6107" w:type="dxa"/>
            <w:gridSpan w:val="4"/>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6107" w:type="dxa"/>
            <w:gridSpan w:val="4"/>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3,333.87</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1,105.71</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2,228.16</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一般公共服务支出</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3,074.44</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846.29</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2,228.16</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20129</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群众团体事务</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2012906</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工会事务</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市场监督管理事务</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3,069.32</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841.17</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2,228.16</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2013805</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市场秩序执法</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176.78</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176.78</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2013810</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质量基础</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1,286.10</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1,286.10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2013850</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事业运行</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664.39</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664.39</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2013899</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其他市场监督管理事务</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942.05</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942.05</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社会保障和就业支出</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230.93</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230.93</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20805</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行政事业单位养老支出</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200.21</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200.21</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2080502</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事业单位离退休</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140.53</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140.53</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2080505</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机关事业单位基本养老保险缴费支出</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59.68</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59.68</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20808</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抚恤</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2080801</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死亡抚恤</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lastRenderedPageBreak/>
              <w:t>210</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卫生健康支出</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21011</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行政事业单位医疗</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470"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2101102</w:t>
            </w:r>
          </w:p>
        </w:tc>
        <w:tc>
          <w:tcPr>
            <w:tcW w:w="463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事业单位医疗</w:t>
            </w:r>
          </w:p>
        </w:tc>
        <w:tc>
          <w:tcPr>
            <w:tcW w:w="248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253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28.49</w:t>
            </w:r>
          </w:p>
        </w:tc>
        <w:tc>
          <w:tcPr>
            <w:tcW w:w="22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3416" w:type="dxa"/>
            <w:gridSpan w:val="7"/>
            <w:tcBorders>
              <w:top w:val="nil"/>
              <w:left w:val="nil"/>
              <w:bottom w:val="nil"/>
              <w:right w:val="nil"/>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注：本表反映部门本年度一般公共预算财政拨款支出情况。</w:t>
            </w:r>
          </w:p>
        </w:tc>
        <w:tc>
          <w:tcPr>
            <w:tcW w:w="236" w:type="dxa"/>
            <w:vAlign w:val="center"/>
          </w:tcPr>
          <w:p w:rsidR="00CE5647" w:rsidRDefault="00CE5647">
            <w:pPr>
              <w:widowControl/>
              <w:jc w:val="left"/>
              <w:rPr>
                <w:rFonts w:eastAsia="Times New Roman"/>
                <w:kern w:val="0"/>
                <w:sz w:val="20"/>
                <w:szCs w:val="20"/>
              </w:rPr>
            </w:pPr>
          </w:p>
        </w:tc>
      </w:tr>
    </w:tbl>
    <w:p w:rsidR="00CE5647" w:rsidRDefault="00CE5647">
      <w:pPr>
        <w:rPr>
          <w:rFonts w:ascii="仿宋_GB2312" w:eastAsia="仿宋_GB2312" w:hAnsi="仿宋_GB2312" w:cs="仿宋_GB2312"/>
          <w:sz w:val="32"/>
          <w:szCs w:val="32"/>
        </w:rPr>
        <w:sectPr w:rsidR="00CE5647">
          <w:pgSz w:w="16838" w:h="11906" w:orient="landscape"/>
          <w:pgMar w:top="1800" w:right="1440" w:bottom="1800" w:left="1440" w:header="720" w:footer="720" w:gutter="0"/>
          <w:pgNumType w:fmt="numberInDash"/>
          <w:cols w:space="720"/>
          <w:docGrid w:type="lines" w:linePitch="312"/>
        </w:sectPr>
      </w:pPr>
    </w:p>
    <w:tbl>
      <w:tblPr>
        <w:tblW w:w="14066" w:type="dxa"/>
        <w:tblInd w:w="108" w:type="dxa"/>
        <w:tblLayout w:type="fixed"/>
        <w:tblLook w:val="04A0" w:firstRow="1" w:lastRow="0" w:firstColumn="1" w:lastColumn="0" w:noHBand="0" w:noVBand="1"/>
      </w:tblPr>
      <w:tblGrid>
        <w:gridCol w:w="843"/>
        <w:gridCol w:w="2916"/>
        <w:gridCol w:w="1055"/>
        <w:gridCol w:w="1166"/>
        <w:gridCol w:w="1790"/>
        <w:gridCol w:w="743"/>
        <w:gridCol w:w="804"/>
        <w:gridCol w:w="3773"/>
        <w:gridCol w:w="740"/>
        <w:gridCol w:w="236"/>
      </w:tblGrid>
      <w:tr w:rsidR="00CE5647">
        <w:trPr>
          <w:gridAfter w:val="1"/>
          <w:wAfter w:w="223" w:type="dxa"/>
          <w:trHeight w:val="390"/>
        </w:trPr>
        <w:tc>
          <w:tcPr>
            <w:tcW w:w="13843" w:type="dxa"/>
            <w:gridSpan w:val="9"/>
            <w:tcBorders>
              <w:top w:val="nil"/>
              <w:left w:val="nil"/>
              <w:bottom w:val="nil"/>
              <w:right w:val="nil"/>
            </w:tcBorders>
            <w:noWrap/>
            <w:vAlign w:val="bottom"/>
          </w:tcPr>
          <w:p w:rsidR="00CE5647" w:rsidRDefault="004830D3">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一般公共预算财政拨款基本支出决算表</w:t>
            </w:r>
          </w:p>
        </w:tc>
      </w:tr>
      <w:tr w:rsidR="00CE5647">
        <w:trPr>
          <w:gridAfter w:val="1"/>
          <w:wAfter w:w="223" w:type="dxa"/>
          <w:trHeight w:val="255"/>
        </w:trPr>
        <w:tc>
          <w:tcPr>
            <w:tcW w:w="843"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30"/>
                <w:szCs w:val="30"/>
              </w:rPr>
            </w:pPr>
          </w:p>
        </w:tc>
        <w:tc>
          <w:tcPr>
            <w:tcW w:w="2918"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056"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167"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792"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744"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5323" w:type="dxa"/>
            <w:gridSpan w:val="3"/>
            <w:tcBorders>
              <w:top w:val="nil"/>
              <w:left w:val="nil"/>
              <w:bottom w:val="nil"/>
              <w:right w:val="nil"/>
            </w:tcBorders>
            <w:noWrap/>
            <w:vAlign w:val="bottom"/>
          </w:tcPr>
          <w:p w:rsidR="00CE5647" w:rsidRDefault="004830D3">
            <w:pPr>
              <w:widowControl/>
              <w:jc w:val="right"/>
              <w:rPr>
                <w:rFonts w:ascii="宋体" w:hAnsi="宋体" w:cs="Arial"/>
                <w:color w:val="000000"/>
                <w:kern w:val="0"/>
                <w:sz w:val="18"/>
                <w:szCs w:val="18"/>
              </w:rPr>
            </w:pPr>
            <w:r>
              <w:rPr>
                <w:rFonts w:ascii="宋体" w:hAnsi="宋体" w:cs="Arial" w:hint="eastAsia"/>
                <w:color w:val="000000"/>
                <w:kern w:val="0"/>
                <w:sz w:val="18"/>
                <w:szCs w:val="18"/>
              </w:rPr>
              <w:t>公开</w:t>
            </w:r>
            <w:r>
              <w:rPr>
                <w:rFonts w:ascii="宋体" w:hAnsi="宋体" w:cs="Arial" w:hint="eastAsia"/>
                <w:color w:val="000000"/>
                <w:kern w:val="0"/>
                <w:sz w:val="18"/>
                <w:szCs w:val="18"/>
              </w:rPr>
              <w:t>06</w:t>
            </w:r>
            <w:r>
              <w:rPr>
                <w:rFonts w:ascii="宋体" w:hAnsi="宋体" w:cs="Arial" w:hint="eastAsia"/>
                <w:color w:val="000000"/>
                <w:kern w:val="0"/>
                <w:sz w:val="18"/>
                <w:szCs w:val="18"/>
              </w:rPr>
              <w:t>表</w:t>
            </w:r>
          </w:p>
        </w:tc>
      </w:tr>
      <w:tr w:rsidR="00CE5647">
        <w:trPr>
          <w:gridAfter w:val="1"/>
          <w:wAfter w:w="223" w:type="dxa"/>
          <w:trHeight w:val="255"/>
        </w:trPr>
        <w:tc>
          <w:tcPr>
            <w:tcW w:w="5984" w:type="dxa"/>
            <w:gridSpan w:val="4"/>
            <w:tcBorders>
              <w:top w:val="nil"/>
              <w:left w:val="nil"/>
              <w:bottom w:val="single" w:sz="4" w:space="0" w:color="000000"/>
              <w:right w:val="nil"/>
            </w:tcBorders>
            <w:noWrap/>
            <w:vAlign w:val="bottom"/>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部门：许昌市质量技术监督检验测试中心</w:t>
            </w:r>
          </w:p>
        </w:tc>
        <w:tc>
          <w:tcPr>
            <w:tcW w:w="1792" w:type="dxa"/>
            <w:tcBorders>
              <w:top w:val="nil"/>
              <w:left w:val="nil"/>
              <w:bottom w:val="nil"/>
              <w:right w:val="nil"/>
            </w:tcBorders>
            <w:noWrap/>
            <w:vAlign w:val="bottom"/>
          </w:tcPr>
          <w:p w:rsidR="00CE5647" w:rsidRDefault="00CE5647">
            <w:pPr>
              <w:widowControl/>
              <w:jc w:val="left"/>
              <w:rPr>
                <w:rFonts w:ascii="宋体" w:hAnsi="宋体" w:cs="Arial"/>
                <w:color w:val="000000"/>
                <w:kern w:val="0"/>
                <w:sz w:val="20"/>
                <w:szCs w:val="20"/>
              </w:rPr>
            </w:pPr>
          </w:p>
        </w:tc>
        <w:tc>
          <w:tcPr>
            <w:tcW w:w="744"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5323" w:type="dxa"/>
            <w:gridSpan w:val="3"/>
            <w:tcBorders>
              <w:top w:val="nil"/>
              <w:left w:val="nil"/>
              <w:bottom w:val="single" w:sz="4" w:space="0" w:color="000000"/>
              <w:right w:val="nil"/>
            </w:tcBorders>
            <w:noWrap/>
            <w:vAlign w:val="bottom"/>
          </w:tcPr>
          <w:p w:rsidR="00CE5647" w:rsidRDefault="004830D3">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CE5647">
        <w:trPr>
          <w:gridAfter w:val="1"/>
          <w:wAfter w:w="223" w:type="dxa"/>
          <w:trHeight w:val="308"/>
        </w:trPr>
        <w:tc>
          <w:tcPr>
            <w:tcW w:w="4817" w:type="dxa"/>
            <w:gridSpan w:val="3"/>
            <w:tcBorders>
              <w:top w:val="single" w:sz="4" w:space="0" w:color="000000"/>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人员经费</w:t>
            </w:r>
          </w:p>
        </w:tc>
        <w:tc>
          <w:tcPr>
            <w:tcW w:w="9026" w:type="dxa"/>
            <w:gridSpan w:val="6"/>
            <w:tcBorders>
              <w:top w:val="single" w:sz="4" w:space="0" w:color="000000"/>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公用经费</w:t>
            </w:r>
          </w:p>
        </w:tc>
      </w:tr>
      <w:tr w:rsidR="00CE5647">
        <w:trPr>
          <w:gridAfter w:val="1"/>
          <w:wAfter w:w="223" w:type="dxa"/>
          <w:trHeight w:val="312"/>
        </w:trPr>
        <w:tc>
          <w:tcPr>
            <w:tcW w:w="843" w:type="dxa"/>
            <w:vMerge w:val="restart"/>
            <w:tcBorders>
              <w:top w:val="nil"/>
              <w:left w:val="single" w:sz="4" w:space="0" w:color="000000"/>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2918"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056"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决算数</w:t>
            </w:r>
          </w:p>
        </w:tc>
        <w:tc>
          <w:tcPr>
            <w:tcW w:w="116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1792"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744"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决算数</w:t>
            </w:r>
          </w:p>
        </w:tc>
        <w:tc>
          <w:tcPr>
            <w:tcW w:w="805"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科目编码</w:t>
            </w:r>
          </w:p>
        </w:tc>
        <w:tc>
          <w:tcPr>
            <w:tcW w:w="377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741"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决算数</w:t>
            </w:r>
          </w:p>
        </w:tc>
      </w:tr>
      <w:tr w:rsidR="00CE5647">
        <w:trPr>
          <w:trHeight w:val="308"/>
        </w:trPr>
        <w:tc>
          <w:tcPr>
            <w:tcW w:w="843" w:type="dxa"/>
            <w:vMerge/>
            <w:tcBorders>
              <w:top w:val="nil"/>
              <w:left w:val="single" w:sz="4" w:space="0" w:color="000000"/>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918"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56"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16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792"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744"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805"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377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741"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23"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22"/>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工资福利支出</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870.18</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商品和服务支出</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61.40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307</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债务利息及费用支出</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30101</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基本工资</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259.68</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30201</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办公费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11.15</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30701</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国内债务付息</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30102</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津贴补贴</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315.58</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30202</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印刷费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9.08</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30702</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国外债务付息</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30103</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奖金</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30203</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咨询费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1.80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资本性支出</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30106</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伙食补助费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30204</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手续费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31001</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房屋建筑物购建</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30107</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绩效工资</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129.86</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30205</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水费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31002</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办公设备购置</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30108</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机关事业单位基本养老保险缴费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59.68</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30206</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电费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31003</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专用设备购置</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30109</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职业年金缴费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30207</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邮电费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31005</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基础设施建设</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30110</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职工基本医疗保险缴费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30.58</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30208</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取暖费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31006</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大型修缮</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30111</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公务员医疗补助缴费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30209</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物业管理费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31007</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信息网络及软件购置更新</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30112</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其他社会保障缴费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4.46</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30211</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差旅费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5.81</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31008</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物资储备</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30113</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住房公积金</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64.42</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30212</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因公出国（境）费用</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31009</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土地补偿</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30114</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医疗费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5.93</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30213</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维修（护）费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31010</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安置补助</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30199</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其他工资福利支出</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30214</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租赁费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31011</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地上附着物和青苗补偿</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lastRenderedPageBreak/>
              <w:t>303</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对个人和家庭的补助</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174.13</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30215</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会议费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0.92</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31012</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拆迁补偿</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30301</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离休费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30216</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培训费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6.83</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31013</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公务用车购置</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30302</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退休费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140.53</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30217</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公务接待费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1.58</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31019</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其他交通工具购置</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30303</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退职（役）费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30218</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专用材料费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31021</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文物和陈列品购置</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30304</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抚恤金</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30.72</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30224</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被装购置费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31022</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无形资产购置</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30305</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生活补助</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2.87</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30225</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专用燃料费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31099</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其他资本性支出</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30306</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救济费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30226</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劳务费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399</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其他支出</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30307</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医疗费补助</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30227</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委托业务费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39906</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赠与</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30308</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助学金</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30228</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工会经费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5.12</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39907</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国家赔偿费用支出</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931"/>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30309</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奖励金</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30229</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福利费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6.03</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39908</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对民间非营利组织和群众性自治组织补贴</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30310</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个人农业生产补贴</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30231</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公务用车运行维护费</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13.07</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39999</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其他支出</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30311</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代缴社会保险费</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30239</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其他交通费用</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30399</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其他对个人和家庭的补助</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30240</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税金及附加费用</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843" w:type="dxa"/>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2918"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16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30299</w:t>
            </w:r>
          </w:p>
        </w:tc>
        <w:tc>
          <w:tcPr>
            <w:tcW w:w="1792"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r>
              <w:rPr>
                <w:rFonts w:ascii="宋体" w:hAnsi="宋体" w:cs="Arial" w:hint="eastAsia"/>
                <w:color w:val="000000"/>
                <w:kern w:val="0"/>
                <w:sz w:val="22"/>
              </w:rPr>
              <w:t>其他商品和服务支出</w:t>
            </w:r>
          </w:p>
        </w:tc>
        <w:tc>
          <w:tcPr>
            <w:tcW w:w="74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805"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3777"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3761" w:type="dxa"/>
            <w:gridSpan w:val="2"/>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人员经费合计</w:t>
            </w:r>
          </w:p>
        </w:tc>
        <w:tc>
          <w:tcPr>
            <w:tcW w:w="1056"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1,044.31</w:t>
            </w:r>
          </w:p>
        </w:tc>
        <w:tc>
          <w:tcPr>
            <w:tcW w:w="8285" w:type="dxa"/>
            <w:gridSpan w:val="5"/>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公用经费合计</w:t>
            </w:r>
          </w:p>
        </w:tc>
        <w:tc>
          <w:tcPr>
            <w:tcW w:w="74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61.40</w:t>
            </w:r>
          </w:p>
        </w:tc>
        <w:tc>
          <w:tcPr>
            <w:tcW w:w="223" w:type="dxa"/>
            <w:vAlign w:val="center"/>
          </w:tcPr>
          <w:p w:rsidR="00CE5647" w:rsidRDefault="00CE5647">
            <w:pPr>
              <w:widowControl/>
              <w:jc w:val="left"/>
              <w:rPr>
                <w:rFonts w:eastAsia="Times New Roman"/>
                <w:kern w:val="0"/>
                <w:sz w:val="20"/>
                <w:szCs w:val="20"/>
              </w:rPr>
            </w:pPr>
          </w:p>
        </w:tc>
      </w:tr>
      <w:tr w:rsidR="00CE5647">
        <w:trPr>
          <w:trHeight w:val="308"/>
        </w:trPr>
        <w:tc>
          <w:tcPr>
            <w:tcW w:w="13843" w:type="dxa"/>
            <w:gridSpan w:val="9"/>
            <w:tcBorders>
              <w:top w:val="nil"/>
              <w:left w:val="nil"/>
              <w:bottom w:val="nil"/>
              <w:right w:val="nil"/>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注：本表反映部门本年度一般公共预算财政拨款基本支出明细情况。</w:t>
            </w:r>
          </w:p>
        </w:tc>
        <w:tc>
          <w:tcPr>
            <w:tcW w:w="223" w:type="dxa"/>
            <w:vAlign w:val="center"/>
          </w:tcPr>
          <w:p w:rsidR="00CE5647" w:rsidRDefault="00CE5647">
            <w:pPr>
              <w:widowControl/>
              <w:jc w:val="left"/>
              <w:rPr>
                <w:rFonts w:eastAsia="Times New Roman"/>
                <w:kern w:val="0"/>
                <w:sz w:val="20"/>
                <w:szCs w:val="20"/>
              </w:rPr>
            </w:pPr>
          </w:p>
        </w:tc>
      </w:tr>
    </w:tbl>
    <w:p w:rsidR="00CE5647" w:rsidRDefault="00CE5647">
      <w:pPr>
        <w:rPr>
          <w:rFonts w:ascii="仿宋_GB2312" w:eastAsia="仿宋_GB2312" w:hAnsi="仿宋_GB2312" w:cs="仿宋_GB2312"/>
          <w:sz w:val="32"/>
          <w:szCs w:val="32"/>
        </w:rPr>
        <w:sectPr w:rsidR="00CE5647">
          <w:pgSz w:w="16838" w:h="11906" w:orient="landscape"/>
          <w:pgMar w:top="1800" w:right="1440" w:bottom="1800" w:left="1440" w:header="720" w:footer="720" w:gutter="0"/>
          <w:pgNumType w:fmt="numberInDash"/>
          <w:cols w:space="720"/>
          <w:docGrid w:type="lines" w:linePitch="312"/>
        </w:sectPr>
      </w:pPr>
    </w:p>
    <w:tbl>
      <w:tblPr>
        <w:tblW w:w="13405" w:type="dxa"/>
        <w:tblInd w:w="108" w:type="dxa"/>
        <w:tblLayout w:type="fixed"/>
        <w:tblLook w:val="04A0" w:firstRow="1" w:lastRow="0" w:firstColumn="1" w:lastColumn="0" w:noHBand="0" w:noVBand="1"/>
      </w:tblPr>
      <w:tblGrid>
        <w:gridCol w:w="1000"/>
        <w:gridCol w:w="1000"/>
        <w:gridCol w:w="1000"/>
        <w:gridCol w:w="1323"/>
        <w:gridCol w:w="1173"/>
        <w:gridCol w:w="791"/>
        <w:gridCol w:w="793"/>
        <w:gridCol w:w="1040"/>
        <w:gridCol w:w="1040"/>
        <w:gridCol w:w="1422"/>
        <w:gridCol w:w="1309"/>
        <w:gridCol w:w="1514"/>
      </w:tblGrid>
      <w:tr w:rsidR="00CE5647">
        <w:trPr>
          <w:trHeight w:val="540"/>
        </w:trPr>
        <w:tc>
          <w:tcPr>
            <w:tcW w:w="13405" w:type="dxa"/>
            <w:gridSpan w:val="12"/>
            <w:tcBorders>
              <w:top w:val="nil"/>
              <w:left w:val="nil"/>
              <w:bottom w:val="nil"/>
              <w:right w:val="nil"/>
            </w:tcBorders>
            <w:noWrap/>
            <w:vAlign w:val="bottom"/>
          </w:tcPr>
          <w:p w:rsidR="00CE5647" w:rsidRDefault="004830D3">
            <w:pPr>
              <w:widowControl/>
              <w:jc w:val="center"/>
              <w:rPr>
                <w:rFonts w:ascii="宋体" w:hAnsi="宋体" w:cs="Arial"/>
                <w:color w:val="000000"/>
                <w:kern w:val="0"/>
                <w:sz w:val="44"/>
                <w:szCs w:val="44"/>
              </w:rPr>
            </w:pPr>
            <w:r>
              <w:rPr>
                <w:rFonts w:ascii="宋体" w:hAnsi="宋体" w:cs="Arial" w:hint="eastAsia"/>
                <w:color w:val="000000"/>
                <w:kern w:val="0"/>
                <w:sz w:val="44"/>
                <w:szCs w:val="44"/>
              </w:rPr>
              <w:lastRenderedPageBreak/>
              <w:t>一般公共预算财政拨款“三公”经费支出决算表</w:t>
            </w:r>
          </w:p>
        </w:tc>
      </w:tr>
      <w:tr w:rsidR="00CE5647">
        <w:trPr>
          <w:trHeight w:val="255"/>
        </w:trPr>
        <w:tc>
          <w:tcPr>
            <w:tcW w:w="1000"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44"/>
                <w:szCs w:val="44"/>
              </w:rPr>
            </w:pPr>
          </w:p>
        </w:tc>
        <w:tc>
          <w:tcPr>
            <w:tcW w:w="1000"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000"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323"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173"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791"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793"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040"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5285" w:type="dxa"/>
            <w:gridSpan w:val="4"/>
            <w:tcBorders>
              <w:top w:val="nil"/>
              <w:left w:val="nil"/>
              <w:bottom w:val="nil"/>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07</w:t>
            </w:r>
            <w:r>
              <w:rPr>
                <w:rFonts w:ascii="宋体" w:hAnsi="宋体" w:cs="Arial" w:hint="eastAsia"/>
                <w:color w:val="000000"/>
                <w:kern w:val="0"/>
                <w:sz w:val="20"/>
                <w:szCs w:val="20"/>
              </w:rPr>
              <w:t>表</w:t>
            </w:r>
          </w:p>
        </w:tc>
      </w:tr>
      <w:tr w:rsidR="00CE5647">
        <w:trPr>
          <w:trHeight w:val="255"/>
        </w:trPr>
        <w:tc>
          <w:tcPr>
            <w:tcW w:w="6287" w:type="dxa"/>
            <w:gridSpan w:val="6"/>
            <w:tcBorders>
              <w:top w:val="nil"/>
              <w:left w:val="nil"/>
              <w:bottom w:val="single" w:sz="4" w:space="0" w:color="000000"/>
              <w:right w:val="nil"/>
            </w:tcBorders>
            <w:noWrap/>
            <w:vAlign w:val="bottom"/>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部门：许昌市质量技术监督检验测试中心</w:t>
            </w:r>
          </w:p>
        </w:tc>
        <w:tc>
          <w:tcPr>
            <w:tcW w:w="793" w:type="dxa"/>
            <w:tcBorders>
              <w:top w:val="nil"/>
              <w:left w:val="nil"/>
              <w:bottom w:val="nil"/>
              <w:right w:val="nil"/>
            </w:tcBorders>
            <w:noWrap/>
            <w:vAlign w:val="bottom"/>
          </w:tcPr>
          <w:p w:rsidR="00CE5647" w:rsidRDefault="00CE5647">
            <w:pPr>
              <w:widowControl/>
              <w:jc w:val="left"/>
              <w:rPr>
                <w:rFonts w:ascii="宋体" w:hAnsi="宋体" w:cs="Arial"/>
                <w:color w:val="000000"/>
                <w:kern w:val="0"/>
                <w:sz w:val="20"/>
                <w:szCs w:val="20"/>
              </w:rPr>
            </w:pPr>
          </w:p>
        </w:tc>
        <w:tc>
          <w:tcPr>
            <w:tcW w:w="1040"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5285" w:type="dxa"/>
            <w:gridSpan w:val="4"/>
            <w:tcBorders>
              <w:top w:val="nil"/>
              <w:left w:val="nil"/>
              <w:bottom w:val="single" w:sz="4" w:space="0" w:color="000000"/>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E5647">
        <w:trPr>
          <w:trHeight w:val="308"/>
        </w:trPr>
        <w:tc>
          <w:tcPr>
            <w:tcW w:w="6287" w:type="dxa"/>
            <w:gridSpan w:val="6"/>
            <w:tcBorders>
              <w:top w:val="single" w:sz="4" w:space="0" w:color="000000"/>
              <w:left w:val="single" w:sz="4" w:space="0" w:color="000000"/>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预算数</w:t>
            </w:r>
          </w:p>
        </w:tc>
        <w:tc>
          <w:tcPr>
            <w:tcW w:w="7118" w:type="dxa"/>
            <w:gridSpan w:val="6"/>
            <w:tcBorders>
              <w:top w:val="single" w:sz="4" w:space="0" w:color="000000"/>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决算数</w:t>
            </w:r>
          </w:p>
        </w:tc>
      </w:tr>
      <w:tr w:rsidR="00CE5647">
        <w:trPr>
          <w:trHeight w:val="308"/>
        </w:trPr>
        <w:tc>
          <w:tcPr>
            <w:tcW w:w="1000" w:type="dxa"/>
            <w:vMerge w:val="restart"/>
            <w:tcBorders>
              <w:top w:val="nil"/>
              <w:left w:val="single" w:sz="4" w:space="0" w:color="000000"/>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000"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因公出国（境）费</w:t>
            </w:r>
          </w:p>
        </w:tc>
        <w:tc>
          <w:tcPr>
            <w:tcW w:w="3496" w:type="dxa"/>
            <w:gridSpan w:val="3"/>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公务用车购置及运行费</w:t>
            </w:r>
          </w:p>
        </w:tc>
        <w:tc>
          <w:tcPr>
            <w:tcW w:w="791"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公务接待费</w:t>
            </w:r>
          </w:p>
        </w:tc>
        <w:tc>
          <w:tcPr>
            <w:tcW w:w="793"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040"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因公出国（境）费</w:t>
            </w:r>
          </w:p>
        </w:tc>
        <w:tc>
          <w:tcPr>
            <w:tcW w:w="3771" w:type="dxa"/>
            <w:gridSpan w:val="3"/>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公务用车购置及运行费</w:t>
            </w:r>
          </w:p>
        </w:tc>
        <w:tc>
          <w:tcPr>
            <w:tcW w:w="1514"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公务接待费</w:t>
            </w:r>
          </w:p>
        </w:tc>
      </w:tr>
      <w:tr w:rsidR="00CE5647">
        <w:trPr>
          <w:trHeight w:val="615"/>
        </w:trPr>
        <w:tc>
          <w:tcPr>
            <w:tcW w:w="1000" w:type="dxa"/>
            <w:vMerge/>
            <w:tcBorders>
              <w:top w:val="nil"/>
              <w:left w:val="single" w:sz="4" w:space="0" w:color="000000"/>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00"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00"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323"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公务用车购置费</w:t>
            </w:r>
          </w:p>
        </w:tc>
        <w:tc>
          <w:tcPr>
            <w:tcW w:w="1173"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公务用车运行费</w:t>
            </w:r>
          </w:p>
        </w:tc>
        <w:tc>
          <w:tcPr>
            <w:tcW w:w="791"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793"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40"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040"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1422"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公务用车购置费</w:t>
            </w:r>
          </w:p>
        </w:tc>
        <w:tc>
          <w:tcPr>
            <w:tcW w:w="1309"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公务用车运行费</w:t>
            </w:r>
          </w:p>
        </w:tc>
        <w:tc>
          <w:tcPr>
            <w:tcW w:w="1514"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r>
      <w:tr w:rsidR="00CE5647">
        <w:trPr>
          <w:trHeight w:val="308"/>
        </w:trPr>
        <w:tc>
          <w:tcPr>
            <w:tcW w:w="1000" w:type="dxa"/>
            <w:tcBorders>
              <w:top w:val="nil"/>
              <w:left w:val="single" w:sz="4" w:space="0" w:color="000000"/>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w:t>
            </w:r>
          </w:p>
        </w:tc>
        <w:tc>
          <w:tcPr>
            <w:tcW w:w="1000"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w:t>
            </w:r>
          </w:p>
        </w:tc>
        <w:tc>
          <w:tcPr>
            <w:tcW w:w="1000"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w:t>
            </w:r>
          </w:p>
        </w:tc>
        <w:tc>
          <w:tcPr>
            <w:tcW w:w="1323"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w:t>
            </w:r>
          </w:p>
        </w:tc>
        <w:tc>
          <w:tcPr>
            <w:tcW w:w="1173"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w:t>
            </w:r>
          </w:p>
        </w:tc>
        <w:tc>
          <w:tcPr>
            <w:tcW w:w="791"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w:t>
            </w:r>
          </w:p>
        </w:tc>
        <w:tc>
          <w:tcPr>
            <w:tcW w:w="793"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7</w:t>
            </w:r>
          </w:p>
        </w:tc>
        <w:tc>
          <w:tcPr>
            <w:tcW w:w="1040"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8</w:t>
            </w:r>
          </w:p>
        </w:tc>
        <w:tc>
          <w:tcPr>
            <w:tcW w:w="1040"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9</w:t>
            </w:r>
          </w:p>
        </w:tc>
        <w:tc>
          <w:tcPr>
            <w:tcW w:w="1422"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10</w:t>
            </w:r>
          </w:p>
        </w:tc>
        <w:tc>
          <w:tcPr>
            <w:tcW w:w="1309"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11</w:t>
            </w:r>
          </w:p>
        </w:tc>
        <w:tc>
          <w:tcPr>
            <w:tcW w:w="1514" w:type="dxa"/>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12</w:t>
            </w:r>
          </w:p>
        </w:tc>
      </w:tr>
      <w:tr w:rsidR="00CE5647">
        <w:trPr>
          <w:trHeight w:val="308"/>
        </w:trPr>
        <w:tc>
          <w:tcPr>
            <w:tcW w:w="1000" w:type="dxa"/>
            <w:tcBorders>
              <w:top w:val="nil"/>
              <w:left w:val="single" w:sz="4" w:space="0" w:color="000000"/>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18.60</w:t>
            </w:r>
          </w:p>
        </w:tc>
        <w:tc>
          <w:tcPr>
            <w:tcW w:w="100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17.00</w:t>
            </w:r>
          </w:p>
        </w:tc>
        <w:tc>
          <w:tcPr>
            <w:tcW w:w="1323"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173"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17.00</w:t>
            </w:r>
          </w:p>
        </w:tc>
        <w:tc>
          <w:tcPr>
            <w:tcW w:w="791"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1.60</w:t>
            </w:r>
          </w:p>
        </w:tc>
        <w:tc>
          <w:tcPr>
            <w:tcW w:w="793"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14.66</w:t>
            </w:r>
          </w:p>
        </w:tc>
        <w:tc>
          <w:tcPr>
            <w:tcW w:w="104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13.07</w:t>
            </w:r>
          </w:p>
        </w:tc>
        <w:tc>
          <w:tcPr>
            <w:tcW w:w="1422"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0.00</w:t>
            </w:r>
          </w:p>
        </w:tc>
        <w:tc>
          <w:tcPr>
            <w:tcW w:w="130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13.07</w:t>
            </w:r>
          </w:p>
        </w:tc>
        <w:tc>
          <w:tcPr>
            <w:tcW w:w="1514"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1.58</w:t>
            </w:r>
          </w:p>
        </w:tc>
      </w:tr>
      <w:tr w:rsidR="00CE5647">
        <w:trPr>
          <w:trHeight w:val="615"/>
        </w:trPr>
        <w:tc>
          <w:tcPr>
            <w:tcW w:w="13405" w:type="dxa"/>
            <w:gridSpan w:val="12"/>
            <w:tcBorders>
              <w:top w:val="nil"/>
              <w:left w:val="nil"/>
              <w:bottom w:val="nil"/>
              <w:right w:val="nil"/>
            </w:tcBorders>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CE5647" w:rsidRDefault="00CE5647">
      <w:pPr>
        <w:rPr>
          <w:rFonts w:ascii="仿宋_GB2312" w:eastAsia="仿宋_GB2312" w:hAnsi="仿宋_GB2312" w:cs="仿宋_GB2312"/>
          <w:sz w:val="32"/>
          <w:szCs w:val="32"/>
        </w:rPr>
      </w:pPr>
    </w:p>
    <w:p w:rsidR="00CE5647" w:rsidRDefault="00CE5647">
      <w:pPr>
        <w:pStyle w:val="a0"/>
        <w:rPr>
          <w:rFonts w:ascii="仿宋_GB2312" w:eastAsia="仿宋_GB2312" w:hAnsi="仿宋_GB2312" w:cs="仿宋_GB2312"/>
          <w:sz w:val="32"/>
          <w:szCs w:val="32"/>
        </w:rPr>
      </w:pPr>
    </w:p>
    <w:p w:rsidR="00CE5647" w:rsidRDefault="00CE5647">
      <w:pPr>
        <w:pStyle w:val="a0"/>
        <w:rPr>
          <w:rFonts w:ascii="仿宋_GB2312" w:eastAsia="仿宋_GB2312" w:hAnsi="仿宋_GB2312" w:cs="仿宋_GB2312"/>
          <w:sz w:val="32"/>
          <w:szCs w:val="32"/>
        </w:rPr>
      </w:pPr>
    </w:p>
    <w:p w:rsidR="00CE5647" w:rsidRDefault="00CE5647">
      <w:pPr>
        <w:pStyle w:val="a0"/>
        <w:rPr>
          <w:rFonts w:ascii="仿宋_GB2312" w:eastAsia="仿宋_GB2312" w:hAnsi="仿宋_GB2312" w:cs="仿宋_GB2312"/>
          <w:sz w:val="32"/>
          <w:szCs w:val="32"/>
        </w:rPr>
      </w:pPr>
    </w:p>
    <w:p w:rsidR="00CE5647" w:rsidRDefault="00CE5647">
      <w:pPr>
        <w:pStyle w:val="a0"/>
        <w:rPr>
          <w:rFonts w:ascii="仿宋_GB2312" w:eastAsia="仿宋_GB2312" w:hAnsi="仿宋_GB2312" w:cs="仿宋_GB2312"/>
          <w:sz w:val="32"/>
          <w:szCs w:val="32"/>
        </w:rPr>
      </w:pPr>
    </w:p>
    <w:p w:rsidR="00CE5647" w:rsidRDefault="00CE5647">
      <w:pPr>
        <w:pStyle w:val="a0"/>
        <w:rPr>
          <w:rFonts w:ascii="仿宋_GB2312" w:eastAsia="仿宋_GB2312" w:hAnsi="仿宋_GB2312" w:cs="仿宋_GB2312"/>
          <w:sz w:val="32"/>
          <w:szCs w:val="32"/>
        </w:rPr>
      </w:pPr>
    </w:p>
    <w:p w:rsidR="00CE5647" w:rsidRDefault="00CE5647">
      <w:pPr>
        <w:pStyle w:val="a0"/>
        <w:rPr>
          <w:rFonts w:ascii="仿宋_GB2312" w:eastAsia="仿宋_GB2312" w:hAnsi="仿宋_GB2312" w:cs="仿宋_GB2312"/>
          <w:sz w:val="32"/>
          <w:szCs w:val="32"/>
        </w:rPr>
      </w:pPr>
    </w:p>
    <w:p w:rsidR="00CE5647" w:rsidRDefault="00CE5647">
      <w:pPr>
        <w:pStyle w:val="a0"/>
        <w:rPr>
          <w:rFonts w:ascii="仿宋_GB2312" w:eastAsia="仿宋_GB2312" w:hAnsi="仿宋_GB2312" w:cs="仿宋_GB2312"/>
          <w:sz w:val="32"/>
          <w:szCs w:val="32"/>
        </w:rPr>
      </w:pPr>
    </w:p>
    <w:p w:rsidR="00CE5647" w:rsidRDefault="00CE5647">
      <w:pPr>
        <w:pStyle w:val="a0"/>
        <w:rPr>
          <w:rFonts w:ascii="仿宋_GB2312" w:eastAsia="仿宋_GB2312" w:hAnsi="仿宋_GB2312" w:cs="仿宋_GB2312"/>
          <w:sz w:val="32"/>
          <w:szCs w:val="32"/>
        </w:rPr>
      </w:pPr>
    </w:p>
    <w:tbl>
      <w:tblPr>
        <w:tblW w:w="13570" w:type="dxa"/>
        <w:tblInd w:w="108" w:type="dxa"/>
        <w:tblLayout w:type="fixed"/>
        <w:tblLook w:val="04A0" w:firstRow="1" w:lastRow="0" w:firstColumn="1" w:lastColumn="0" w:noHBand="0" w:noVBand="1"/>
      </w:tblPr>
      <w:tblGrid>
        <w:gridCol w:w="236"/>
        <w:gridCol w:w="236"/>
        <w:gridCol w:w="712"/>
        <w:gridCol w:w="1257"/>
        <w:gridCol w:w="1853"/>
        <w:gridCol w:w="1489"/>
        <w:gridCol w:w="1489"/>
        <w:gridCol w:w="2184"/>
        <w:gridCol w:w="1484"/>
        <w:gridCol w:w="2394"/>
        <w:gridCol w:w="236"/>
      </w:tblGrid>
      <w:tr w:rsidR="00CE5647">
        <w:trPr>
          <w:gridAfter w:val="1"/>
          <w:wAfter w:w="236" w:type="dxa"/>
          <w:trHeight w:val="390"/>
        </w:trPr>
        <w:tc>
          <w:tcPr>
            <w:tcW w:w="13334" w:type="dxa"/>
            <w:gridSpan w:val="10"/>
            <w:tcBorders>
              <w:top w:val="nil"/>
              <w:left w:val="nil"/>
              <w:bottom w:val="nil"/>
              <w:right w:val="nil"/>
            </w:tcBorders>
            <w:noWrap/>
            <w:vAlign w:val="bottom"/>
          </w:tcPr>
          <w:p w:rsidR="00CE5647" w:rsidRDefault="004830D3">
            <w:pPr>
              <w:widowControl/>
              <w:jc w:val="center"/>
              <w:rPr>
                <w:rFonts w:ascii="宋体" w:hAnsi="宋体" w:cs="Arial"/>
                <w:color w:val="000000"/>
                <w:kern w:val="0"/>
                <w:sz w:val="30"/>
                <w:szCs w:val="30"/>
              </w:rPr>
            </w:pPr>
            <w:r>
              <w:rPr>
                <w:rFonts w:ascii="宋体" w:hAnsi="宋体" w:cs="Arial" w:hint="eastAsia"/>
                <w:color w:val="000000"/>
                <w:kern w:val="0"/>
                <w:sz w:val="30"/>
                <w:szCs w:val="30"/>
              </w:rPr>
              <w:lastRenderedPageBreak/>
              <w:t>政府性基金预算财政拨款收入支出决算表</w:t>
            </w:r>
          </w:p>
        </w:tc>
      </w:tr>
      <w:tr w:rsidR="00CE5647">
        <w:trPr>
          <w:gridAfter w:val="1"/>
          <w:wAfter w:w="236" w:type="dxa"/>
          <w:trHeight w:val="255"/>
        </w:trPr>
        <w:tc>
          <w:tcPr>
            <w:tcW w:w="222"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30"/>
                <w:szCs w:val="30"/>
              </w:rPr>
            </w:pPr>
          </w:p>
        </w:tc>
        <w:tc>
          <w:tcPr>
            <w:tcW w:w="222"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713"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260"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857"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1492"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c>
          <w:tcPr>
            <w:tcW w:w="7568" w:type="dxa"/>
            <w:gridSpan w:val="4"/>
            <w:tcBorders>
              <w:top w:val="nil"/>
              <w:left w:val="nil"/>
              <w:bottom w:val="nil"/>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公开</w:t>
            </w:r>
            <w:r>
              <w:rPr>
                <w:rFonts w:ascii="宋体" w:hAnsi="宋体" w:cs="Arial" w:hint="eastAsia"/>
                <w:color w:val="000000"/>
                <w:kern w:val="0"/>
                <w:sz w:val="20"/>
                <w:szCs w:val="20"/>
              </w:rPr>
              <w:t>08</w:t>
            </w:r>
            <w:r>
              <w:rPr>
                <w:rFonts w:ascii="宋体" w:hAnsi="宋体" w:cs="Arial" w:hint="eastAsia"/>
                <w:color w:val="000000"/>
                <w:kern w:val="0"/>
                <w:sz w:val="20"/>
                <w:szCs w:val="20"/>
              </w:rPr>
              <w:t>表</w:t>
            </w:r>
          </w:p>
        </w:tc>
      </w:tr>
      <w:tr w:rsidR="00CE5647">
        <w:trPr>
          <w:gridAfter w:val="1"/>
          <w:wAfter w:w="236" w:type="dxa"/>
          <w:trHeight w:val="255"/>
        </w:trPr>
        <w:tc>
          <w:tcPr>
            <w:tcW w:w="4274" w:type="dxa"/>
            <w:gridSpan w:val="5"/>
            <w:tcBorders>
              <w:top w:val="nil"/>
              <w:left w:val="nil"/>
              <w:bottom w:val="single" w:sz="4" w:space="0" w:color="000000"/>
              <w:right w:val="nil"/>
            </w:tcBorders>
            <w:noWrap/>
            <w:vAlign w:val="bottom"/>
          </w:tcPr>
          <w:p w:rsidR="00CE5647" w:rsidRDefault="004830D3">
            <w:pPr>
              <w:widowControl/>
              <w:jc w:val="left"/>
              <w:rPr>
                <w:rFonts w:ascii="宋体" w:hAnsi="宋体" w:cs="Arial"/>
                <w:color w:val="000000"/>
                <w:kern w:val="0"/>
                <w:sz w:val="20"/>
                <w:szCs w:val="20"/>
              </w:rPr>
            </w:pPr>
            <w:r>
              <w:rPr>
                <w:rFonts w:ascii="宋体" w:hAnsi="宋体" w:cs="Arial" w:hint="eastAsia"/>
                <w:color w:val="000000"/>
                <w:kern w:val="0"/>
                <w:sz w:val="20"/>
                <w:szCs w:val="20"/>
              </w:rPr>
              <w:t>部门：许昌市质量技术监督检验测试中心</w:t>
            </w:r>
          </w:p>
        </w:tc>
        <w:tc>
          <w:tcPr>
            <w:tcW w:w="1492" w:type="dxa"/>
            <w:tcBorders>
              <w:top w:val="nil"/>
              <w:left w:val="nil"/>
              <w:bottom w:val="nil"/>
              <w:right w:val="nil"/>
            </w:tcBorders>
            <w:noWrap/>
            <w:vAlign w:val="bottom"/>
          </w:tcPr>
          <w:p w:rsidR="00CE5647" w:rsidRDefault="00CE5647">
            <w:pPr>
              <w:widowControl/>
              <w:jc w:val="left"/>
              <w:rPr>
                <w:rFonts w:ascii="宋体" w:hAnsi="宋体" w:cs="Arial"/>
                <w:color w:val="000000"/>
                <w:kern w:val="0"/>
                <w:sz w:val="20"/>
                <w:szCs w:val="20"/>
              </w:rPr>
            </w:pPr>
          </w:p>
        </w:tc>
        <w:tc>
          <w:tcPr>
            <w:tcW w:w="7568" w:type="dxa"/>
            <w:gridSpan w:val="4"/>
            <w:tcBorders>
              <w:top w:val="nil"/>
              <w:left w:val="nil"/>
              <w:bottom w:val="single" w:sz="4" w:space="0" w:color="000000"/>
              <w:right w:val="nil"/>
            </w:tcBorders>
            <w:noWrap/>
            <w:vAlign w:val="bottom"/>
          </w:tcPr>
          <w:p w:rsidR="00CE5647" w:rsidRDefault="004830D3">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CE5647">
        <w:trPr>
          <w:gridAfter w:val="1"/>
          <w:wAfter w:w="236" w:type="dxa"/>
          <w:trHeight w:val="308"/>
        </w:trPr>
        <w:tc>
          <w:tcPr>
            <w:tcW w:w="2417" w:type="dxa"/>
            <w:gridSpan w:val="4"/>
            <w:tcBorders>
              <w:top w:val="single" w:sz="4" w:space="0" w:color="000000"/>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项目</w:t>
            </w:r>
          </w:p>
        </w:tc>
        <w:tc>
          <w:tcPr>
            <w:tcW w:w="185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年初结转和结余</w:t>
            </w:r>
          </w:p>
        </w:tc>
        <w:tc>
          <w:tcPr>
            <w:tcW w:w="1492" w:type="dxa"/>
            <w:vMerge w:val="restart"/>
            <w:tcBorders>
              <w:top w:val="single" w:sz="4" w:space="0" w:color="000000"/>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本年收入</w:t>
            </w:r>
          </w:p>
        </w:tc>
        <w:tc>
          <w:tcPr>
            <w:tcW w:w="5168" w:type="dxa"/>
            <w:gridSpan w:val="3"/>
            <w:tcBorders>
              <w:top w:val="single" w:sz="4" w:space="0" w:color="000000"/>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本年支出</w:t>
            </w:r>
          </w:p>
        </w:tc>
        <w:tc>
          <w:tcPr>
            <w:tcW w:w="2400"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年末结转和结余</w:t>
            </w:r>
          </w:p>
        </w:tc>
      </w:tr>
      <w:tr w:rsidR="00CE5647">
        <w:trPr>
          <w:gridAfter w:val="1"/>
          <w:wAfter w:w="236" w:type="dxa"/>
          <w:trHeight w:val="312"/>
        </w:trPr>
        <w:tc>
          <w:tcPr>
            <w:tcW w:w="1157" w:type="dxa"/>
            <w:gridSpan w:val="3"/>
            <w:vMerge w:val="restart"/>
            <w:tcBorders>
              <w:top w:val="nil"/>
              <w:left w:val="single" w:sz="4" w:space="0" w:color="000000"/>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功能分类科目编码</w:t>
            </w:r>
          </w:p>
        </w:tc>
        <w:tc>
          <w:tcPr>
            <w:tcW w:w="1260" w:type="dxa"/>
            <w:vMerge w:val="restart"/>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科目名称</w:t>
            </w:r>
          </w:p>
        </w:tc>
        <w:tc>
          <w:tcPr>
            <w:tcW w:w="185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492" w:type="dxa"/>
            <w:vMerge/>
            <w:tcBorders>
              <w:top w:val="single" w:sz="4" w:space="0" w:color="000000"/>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492"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小计</w:t>
            </w:r>
          </w:p>
        </w:tc>
        <w:tc>
          <w:tcPr>
            <w:tcW w:w="2189"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基本支出</w:t>
            </w:r>
          </w:p>
        </w:tc>
        <w:tc>
          <w:tcPr>
            <w:tcW w:w="1487" w:type="dxa"/>
            <w:vMerge w:val="restart"/>
            <w:tcBorders>
              <w:top w:val="nil"/>
              <w:left w:val="nil"/>
              <w:bottom w:val="single" w:sz="4" w:space="0" w:color="000000"/>
              <w:right w:val="single" w:sz="4" w:space="0" w:color="000000"/>
            </w:tcBorders>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项目支出</w:t>
            </w:r>
          </w:p>
        </w:tc>
        <w:tc>
          <w:tcPr>
            <w:tcW w:w="2400"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r>
      <w:tr w:rsidR="00CE5647">
        <w:trPr>
          <w:trHeight w:val="308"/>
        </w:trPr>
        <w:tc>
          <w:tcPr>
            <w:tcW w:w="1157" w:type="dxa"/>
            <w:gridSpan w:val="3"/>
            <w:vMerge/>
            <w:tcBorders>
              <w:top w:val="nil"/>
              <w:left w:val="single" w:sz="4" w:space="0" w:color="000000"/>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260"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85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492" w:type="dxa"/>
            <w:vMerge/>
            <w:tcBorders>
              <w:top w:val="single" w:sz="4" w:space="0" w:color="000000"/>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492"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18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48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400"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36" w:type="dxa"/>
            <w:tcBorders>
              <w:top w:val="nil"/>
              <w:left w:val="nil"/>
              <w:bottom w:val="nil"/>
              <w:right w:val="nil"/>
            </w:tcBorders>
            <w:noWrap/>
            <w:vAlign w:val="bottom"/>
          </w:tcPr>
          <w:p w:rsidR="00CE5647" w:rsidRDefault="00CE5647">
            <w:pPr>
              <w:widowControl/>
              <w:jc w:val="center"/>
              <w:rPr>
                <w:rFonts w:ascii="宋体" w:hAnsi="宋体" w:cs="Arial"/>
                <w:color w:val="000000"/>
                <w:kern w:val="0"/>
                <w:sz w:val="22"/>
              </w:rPr>
            </w:pPr>
          </w:p>
        </w:tc>
      </w:tr>
      <w:tr w:rsidR="00CE5647">
        <w:trPr>
          <w:trHeight w:val="308"/>
        </w:trPr>
        <w:tc>
          <w:tcPr>
            <w:tcW w:w="1157" w:type="dxa"/>
            <w:gridSpan w:val="3"/>
            <w:vMerge/>
            <w:tcBorders>
              <w:top w:val="nil"/>
              <w:left w:val="single" w:sz="4" w:space="0" w:color="000000"/>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260"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85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492" w:type="dxa"/>
            <w:vMerge/>
            <w:tcBorders>
              <w:top w:val="single" w:sz="4" w:space="0" w:color="000000"/>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492"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189"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1487"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400" w:type="dxa"/>
            <w:vMerge/>
            <w:tcBorders>
              <w:top w:val="nil"/>
              <w:left w:val="nil"/>
              <w:bottom w:val="single" w:sz="4" w:space="0" w:color="000000"/>
              <w:right w:val="single" w:sz="4" w:space="0" w:color="000000"/>
            </w:tcBorders>
            <w:vAlign w:val="center"/>
          </w:tcPr>
          <w:p w:rsidR="00CE5647" w:rsidRDefault="00CE5647">
            <w:pPr>
              <w:widowControl/>
              <w:jc w:val="left"/>
              <w:rPr>
                <w:rFonts w:ascii="宋体" w:hAnsi="宋体" w:cs="Arial"/>
                <w:color w:val="000000"/>
                <w:kern w:val="0"/>
                <w:sz w:val="22"/>
              </w:rPr>
            </w:pPr>
          </w:p>
        </w:tc>
        <w:tc>
          <w:tcPr>
            <w:tcW w:w="236" w:type="dxa"/>
            <w:tcBorders>
              <w:top w:val="nil"/>
              <w:left w:val="nil"/>
              <w:bottom w:val="nil"/>
              <w:right w:val="nil"/>
            </w:tcBorders>
            <w:noWrap/>
            <w:vAlign w:val="bottom"/>
          </w:tcPr>
          <w:p w:rsidR="00CE5647" w:rsidRDefault="00CE5647">
            <w:pPr>
              <w:widowControl/>
              <w:jc w:val="left"/>
              <w:rPr>
                <w:rFonts w:eastAsia="Times New Roman"/>
                <w:kern w:val="0"/>
                <w:sz w:val="20"/>
                <w:szCs w:val="20"/>
              </w:rPr>
            </w:pPr>
          </w:p>
        </w:tc>
      </w:tr>
      <w:tr w:rsidR="00CE5647">
        <w:trPr>
          <w:trHeight w:val="308"/>
        </w:trPr>
        <w:tc>
          <w:tcPr>
            <w:tcW w:w="2417" w:type="dxa"/>
            <w:gridSpan w:val="4"/>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栏次</w:t>
            </w:r>
          </w:p>
        </w:tc>
        <w:tc>
          <w:tcPr>
            <w:tcW w:w="1857"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1</w:t>
            </w:r>
          </w:p>
        </w:tc>
        <w:tc>
          <w:tcPr>
            <w:tcW w:w="1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2</w:t>
            </w:r>
          </w:p>
        </w:tc>
        <w:tc>
          <w:tcPr>
            <w:tcW w:w="1492"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3</w:t>
            </w:r>
          </w:p>
        </w:tc>
        <w:tc>
          <w:tcPr>
            <w:tcW w:w="2189"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4</w:t>
            </w:r>
          </w:p>
        </w:tc>
        <w:tc>
          <w:tcPr>
            <w:tcW w:w="1487"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5</w:t>
            </w:r>
          </w:p>
        </w:tc>
        <w:tc>
          <w:tcPr>
            <w:tcW w:w="2400" w:type="dxa"/>
            <w:tcBorders>
              <w:top w:val="nil"/>
              <w:left w:val="nil"/>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6</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2417" w:type="dxa"/>
            <w:gridSpan w:val="4"/>
            <w:tcBorders>
              <w:top w:val="nil"/>
              <w:left w:val="single" w:sz="4" w:space="0" w:color="000000"/>
              <w:bottom w:val="single" w:sz="4" w:space="0" w:color="000000"/>
              <w:right w:val="single" w:sz="4" w:space="0" w:color="000000"/>
            </w:tcBorders>
            <w:noWrap/>
            <w:vAlign w:val="center"/>
          </w:tcPr>
          <w:p w:rsidR="00CE5647" w:rsidRDefault="004830D3">
            <w:pPr>
              <w:widowControl/>
              <w:jc w:val="center"/>
              <w:rPr>
                <w:rFonts w:ascii="宋体" w:hAnsi="宋体" w:cs="Arial"/>
                <w:color w:val="000000"/>
                <w:kern w:val="0"/>
                <w:sz w:val="22"/>
              </w:rPr>
            </w:pPr>
            <w:r>
              <w:rPr>
                <w:rFonts w:ascii="宋体" w:hAnsi="宋体" w:cs="Arial" w:hint="eastAsia"/>
                <w:color w:val="000000"/>
                <w:kern w:val="0"/>
                <w:sz w:val="22"/>
              </w:rPr>
              <w:t>合计</w:t>
            </w:r>
          </w:p>
        </w:tc>
        <w:tc>
          <w:tcPr>
            <w:tcW w:w="185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492"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492"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21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14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240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b/>
                <w:bCs/>
                <w:color w:val="000000"/>
                <w:kern w:val="0"/>
                <w:sz w:val="22"/>
              </w:rPr>
            </w:pPr>
            <w:r>
              <w:rPr>
                <w:rFonts w:ascii="宋体" w:hAnsi="宋体" w:cs="Arial" w:hint="eastAsia"/>
                <w:b/>
                <w:bCs/>
                <w:color w:val="000000"/>
                <w:kern w:val="0"/>
                <w:sz w:val="22"/>
              </w:rPr>
              <w:t xml:space="preserve">　</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157"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260"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85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92"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92"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1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40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157"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260"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85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92"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92"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1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40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157" w:type="dxa"/>
            <w:gridSpan w:val="3"/>
            <w:tcBorders>
              <w:top w:val="nil"/>
              <w:left w:val="single" w:sz="4" w:space="0" w:color="000000"/>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260" w:type="dxa"/>
            <w:tcBorders>
              <w:top w:val="nil"/>
              <w:left w:val="nil"/>
              <w:bottom w:val="single" w:sz="4" w:space="0" w:color="000000"/>
              <w:right w:val="single" w:sz="4" w:space="0" w:color="000000"/>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 xml:space="preserve">　</w:t>
            </w:r>
          </w:p>
        </w:tc>
        <w:tc>
          <w:tcPr>
            <w:tcW w:w="185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92"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92"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189"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1487"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400" w:type="dxa"/>
            <w:tcBorders>
              <w:top w:val="nil"/>
              <w:left w:val="nil"/>
              <w:bottom w:val="single" w:sz="4" w:space="0" w:color="000000"/>
              <w:right w:val="single" w:sz="4" w:space="0" w:color="000000"/>
            </w:tcBorders>
            <w:noWrap/>
            <w:vAlign w:val="center"/>
          </w:tcPr>
          <w:p w:rsidR="00CE5647" w:rsidRDefault="004830D3">
            <w:pPr>
              <w:widowControl/>
              <w:jc w:val="right"/>
              <w:rPr>
                <w:rFonts w:ascii="宋体" w:hAnsi="宋体" w:cs="Arial"/>
                <w:color w:val="000000"/>
                <w:kern w:val="0"/>
                <w:sz w:val="22"/>
              </w:rPr>
            </w:pPr>
            <w:r>
              <w:rPr>
                <w:rFonts w:ascii="宋体" w:hAnsi="宋体" w:cs="Arial" w:hint="eastAsia"/>
                <w:color w:val="000000"/>
                <w:kern w:val="0"/>
                <w:sz w:val="22"/>
              </w:rPr>
              <w:t xml:space="preserve">　</w:t>
            </w:r>
          </w:p>
        </w:tc>
        <w:tc>
          <w:tcPr>
            <w:tcW w:w="236" w:type="dxa"/>
            <w:vAlign w:val="center"/>
          </w:tcPr>
          <w:p w:rsidR="00CE5647" w:rsidRDefault="00CE5647">
            <w:pPr>
              <w:widowControl/>
              <w:jc w:val="left"/>
              <w:rPr>
                <w:rFonts w:eastAsia="Times New Roman"/>
                <w:kern w:val="0"/>
                <w:sz w:val="20"/>
                <w:szCs w:val="20"/>
              </w:rPr>
            </w:pPr>
          </w:p>
        </w:tc>
      </w:tr>
      <w:tr w:rsidR="00CE5647">
        <w:trPr>
          <w:trHeight w:val="308"/>
        </w:trPr>
        <w:tc>
          <w:tcPr>
            <w:tcW w:w="13334" w:type="dxa"/>
            <w:gridSpan w:val="10"/>
            <w:tcBorders>
              <w:top w:val="nil"/>
              <w:left w:val="nil"/>
              <w:bottom w:val="nil"/>
              <w:right w:val="nil"/>
            </w:tcBorders>
            <w:noWrap/>
            <w:vAlign w:val="center"/>
          </w:tcPr>
          <w:p w:rsidR="00CE5647" w:rsidRDefault="004830D3">
            <w:pPr>
              <w:widowControl/>
              <w:jc w:val="left"/>
              <w:rPr>
                <w:rFonts w:ascii="宋体" w:hAnsi="宋体" w:cs="Arial"/>
                <w:color w:val="000000"/>
                <w:kern w:val="0"/>
                <w:sz w:val="22"/>
              </w:rPr>
            </w:pPr>
            <w:r>
              <w:rPr>
                <w:rFonts w:ascii="宋体" w:hAnsi="宋体" w:cs="Arial" w:hint="eastAsia"/>
                <w:color w:val="000000"/>
                <w:kern w:val="0"/>
                <w:sz w:val="22"/>
              </w:rPr>
              <w:t>注：本表反映部门本年度政府性基金预算财政拨款收入、支出及结转和结余情况。</w:t>
            </w:r>
          </w:p>
        </w:tc>
        <w:tc>
          <w:tcPr>
            <w:tcW w:w="236" w:type="dxa"/>
            <w:vAlign w:val="center"/>
          </w:tcPr>
          <w:p w:rsidR="00CE5647" w:rsidRDefault="00CE5647">
            <w:pPr>
              <w:widowControl/>
              <w:jc w:val="left"/>
              <w:rPr>
                <w:rFonts w:eastAsia="Times New Roman"/>
                <w:kern w:val="0"/>
                <w:sz w:val="20"/>
                <w:szCs w:val="20"/>
              </w:rPr>
            </w:pPr>
          </w:p>
        </w:tc>
      </w:tr>
    </w:tbl>
    <w:p w:rsidR="00CE5647" w:rsidRDefault="004830D3">
      <w:pPr>
        <w:jc w:val="center"/>
        <w:rPr>
          <w:rFonts w:ascii="仿宋_GB2312" w:eastAsia="仿宋_GB2312" w:hAnsi="仿宋_GB2312" w:cs="仿宋_GB2312"/>
          <w:sz w:val="32"/>
          <w:szCs w:val="32"/>
        </w:rPr>
        <w:sectPr w:rsidR="00CE5647">
          <w:pgSz w:w="16838" w:h="11906" w:orient="landscape"/>
          <w:pgMar w:top="1800" w:right="1440" w:bottom="1800" w:left="1440" w:header="720" w:footer="720" w:gutter="0"/>
          <w:pgNumType w:fmt="numberInDash"/>
          <w:cols w:space="720"/>
          <w:docGrid w:type="lines" w:linePitch="312"/>
        </w:sectPr>
      </w:pPr>
      <w:r>
        <w:rPr>
          <w:rFonts w:ascii="仿宋_GB2312" w:eastAsia="仿宋_GB2312" w:hAnsi="仿宋_GB2312" w:cs="仿宋_GB2312" w:hint="eastAsia"/>
          <w:sz w:val="32"/>
          <w:szCs w:val="32"/>
        </w:rPr>
        <w:t>说明：我部门没有政府性基金收入，也没有使用政府性基金安排的支出，故本表无数据。</w:t>
      </w: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4830D3">
      <w:pPr>
        <w:jc w:val="center"/>
        <w:outlineLvl w:val="0"/>
        <w:rPr>
          <w:rFonts w:ascii="黑体" w:eastAsia="黑体" w:hAnsi="黑体" w:cs="黑体"/>
          <w:sz w:val="48"/>
          <w:szCs w:val="48"/>
        </w:rPr>
      </w:pPr>
      <w:r>
        <w:rPr>
          <w:rFonts w:ascii="黑体" w:eastAsia="黑体" w:hAnsi="黑体" w:cs="黑体" w:hint="eastAsia"/>
          <w:sz w:val="48"/>
          <w:szCs w:val="48"/>
        </w:rPr>
        <w:t>第三部分</w:t>
      </w:r>
      <w:r>
        <w:rPr>
          <w:rFonts w:ascii="黑体" w:eastAsia="黑体" w:hAnsi="黑体" w:cs="黑体" w:hint="eastAsia"/>
          <w:sz w:val="48"/>
          <w:szCs w:val="48"/>
        </w:rPr>
        <w:t xml:space="preserve">  2020</w:t>
      </w:r>
      <w:r>
        <w:rPr>
          <w:rFonts w:ascii="黑体" w:eastAsia="黑体" w:hAnsi="黑体" w:cs="黑体" w:hint="eastAsia"/>
          <w:sz w:val="48"/>
          <w:szCs w:val="48"/>
        </w:rPr>
        <w:t>年度部门决算情况说明</w:t>
      </w:r>
    </w:p>
    <w:p w:rsidR="00CE5647" w:rsidRDefault="00CE5647">
      <w:pPr>
        <w:widowControl/>
        <w:jc w:val="left"/>
        <w:rPr>
          <w:rFonts w:ascii="黑体" w:eastAsia="黑体" w:hAnsi="黑体" w:cs="黑体"/>
          <w:sz w:val="48"/>
          <w:szCs w:val="48"/>
        </w:rPr>
        <w:sectPr w:rsidR="00CE5647">
          <w:pgSz w:w="11906" w:h="16838"/>
          <w:pgMar w:top="1440" w:right="1800" w:bottom="1440" w:left="1800" w:header="720" w:footer="720" w:gutter="0"/>
          <w:pgNumType w:fmt="numberInDash"/>
          <w:cols w:space="720"/>
          <w:docGrid w:type="lines" w:linePitch="312"/>
        </w:sectPr>
      </w:pPr>
    </w:p>
    <w:p w:rsidR="00CE5647" w:rsidRDefault="004830D3">
      <w:pPr>
        <w:widowControl/>
        <w:spacing w:line="590" w:lineRule="exact"/>
        <w:ind w:firstLineChars="200" w:firstLine="640"/>
        <w:outlineLvl w:val="1"/>
        <w:rPr>
          <w:rFonts w:ascii="仿宋_GB2312" w:eastAsia="仿宋_GB2312" w:hAnsi="仿宋_GB2312" w:cs="仿宋_GB2312"/>
          <w:sz w:val="32"/>
          <w:szCs w:val="32"/>
        </w:rPr>
      </w:pPr>
      <w:r>
        <w:rPr>
          <w:rFonts w:ascii="黑体" w:eastAsia="黑体" w:hAnsi="黑体" w:cs="黑体" w:hint="eastAsia"/>
          <w:sz w:val="32"/>
          <w:szCs w:val="32"/>
        </w:rPr>
        <w:lastRenderedPageBreak/>
        <w:t>一、收入支出决算总体情况说明</w:t>
      </w:r>
    </w:p>
    <w:p w:rsidR="00CE5647" w:rsidRDefault="004830D3">
      <w:pPr>
        <w:ind w:firstLineChars="200" w:firstLine="640"/>
        <w:jc w:val="left"/>
        <w:rPr>
          <w:rFonts w:ascii="黑体" w:eastAsia="黑体" w:hAnsi="黑体" w:cs="黑体"/>
          <w:sz w:val="32"/>
          <w:szCs w:val="32"/>
        </w:rPr>
      </w:pPr>
      <w:r>
        <w:rPr>
          <w:rFonts w:ascii="仿宋_GB2312" w:eastAsia="仿宋_GB2312" w:hAnsi="仿宋_GB2312" w:cs="仿宋_GB2312" w:hint="eastAsia"/>
          <w:sz w:val="32"/>
          <w:szCs w:val="32"/>
          <w:lang w:val="zh-CN"/>
        </w:rPr>
        <w:t>2020</w:t>
      </w:r>
      <w:r>
        <w:rPr>
          <w:rFonts w:ascii="仿宋_GB2312" w:eastAsia="仿宋_GB2312" w:hAnsi="仿宋_GB2312" w:cs="仿宋_GB2312" w:hint="eastAsia"/>
          <w:sz w:val="32"/>
          <w:szCs w:val="32"/>
          <w:lang w:val="zh-CN"/>
        </w:rPr>
        <w:t>年度收、支总计均为</w:t>
      </w:r>
      <w:r>
        <w:rPr>
          <w:rFonts w:ascii="仿宋_GB2312" w:eastAsia="仿宋_GB2312" w:hAnsi="仿宋_GB2312" w:cs="仿宋_GB2312" w:hint="eastAsia"/>
          <w:sz w:val="32"/>
          <w:szCs w:val="32"/>
          <w:lang w:val="zh-CN"/>
        </w:rPr>
        <w:t>3,948.39</w:t>
      </w:r>
      <w:r>
        <w:rPr>
          <w:rFonts w:ascii="仿宋_GB2312" w:eastAsia="仿宋_GB2312" w:hAnsi="仿宋_GB2312" w:cs="仿宋_GB2312" w:hint="eastAsia"/>
          <w:sz w:val="32"/>
          <w:szCs w:val="32"/>
          <w:lang w:val="zh-CN"/>
        </w:rPr>
        <w:t>万元。与上年度相比，收、支总计各减少</w:t>
      </w:r>
      <w:r>
        <w:rPr>
          <w:rFonts w:ascii="仿宋_GB2312" w:eastAsia="仿宋_GB2312" w:hAnsi="仿宋_GB2312" w:cs="仿宋_GB2312" w:hint="eastAsia"/>
          <w:sz w:val="32"/>
          <w:szCs w:val="32"/>
          <w:lang w:val="zh-CN"/>
        </w:rPr>
        <w:t>1,233.69</w:t>
      </w:r>
      <w:r>
        <w:rPr>
          <w:rFonts w:ascii="仿宋_GB2312" w:eastAsia="仿宋_GB2312" w:hAnsi="仿宋_GB2312" w:cs="仿宋_GB2312" w:hint="eastAsia"/>
          <w:sz w:val="32"/>
          <w:szCs w:val="32"/>
          <w:lang w:val="zh-CN"/>
        </w:rPr>
        <w:t>万元，下降</w:t>
      </w:r>
      <w:r>
        <w:rPr>
          <w:rFonts w:ascii="仿宋_GB2312" w:eastAsia="仿宋_GB2312" w:hAnsi="仿宋_GB2312" w:cs="仿宋_GB2312" w:hint="eastAsia"/>
          <w:sz w:val="32"/>
          <w:szCs w:val="32"/>
          <w:lang w:val="zh-CN"/>
        </w:rPr>
        <w:t>23.81%</w:t>
      </w:r>
      <w:r>
        <w:rPr>
          <w:rFonts w:ascii="仿宋_GB2312" w:eastAsia="仿宋_GB2312" w:hAnsi="仿宋_GB2312" w:cs="仿宋_GB2312" w:hint="eastAsia"/>
          <w:sz w:val="32"/>
          <w:szCs w:val="32"/>
          <w:lang w:val="zh-CN"/>
        </w:rPr>
        <w:t>。主要原因一是减少了设备</w:t>
      </w:r>
      <w:r>
        <w:rPr>
          <w:rFonts w:ascii="仿宋_GB2312" w:eastAsia="仿宋_GB2312" w:hAnsi="仿宋_GB2312" w:cs="仿宋_GB2312" w:hint="eastAsia"/>
          <w:sz w:val="32"/>
          <w:szCs w:val="32"/>
        </w:rPr>
        <w:t>购置，二是减少了年末结转和结余</w:t>
      </w:r>
      <w:r>
        <w:rPr>
          <w:rFonts w:ascii="仿宋_GB2312" w:eastAsia="仿宋_GB2312" w:hAnsi="仿宋_GB2312" w:cs="仿宋_GB2312" w:hint="eastAsia"/>
          <w:sz w:val="32"/>
          <w:szCs w:val="32"/>
          <w:lang w:val="zh-CN"/>
        </w:rPr>
        <w:t>。</w:t>
      </w:r>
    </w:p>
    <w:p w:rsidR="00CE5647" w:rsidRDefault="004830D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CE5647" w:rsidRDefault="004830D3">
      <w:pPr>
        <w:widowControl/>
        <w:spacing w:line="59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2020</w:t>
      </w:r>
      <w:r>
        <w:rPr>
          <w:rFonts w:ascii="仿宋_GB2312" w:eastAsia="仿宋_GB2312" w:hAnsi="仿宋_GB2312" w:cs="仿宋_GB2312" w:hint="eastAsia"/>
          <w:sz w:val="32"/>
          <w:szCs w:val="32"/>
          <w:lang w:val="zh-CN"/>
        </w:rPr>
        <w:t>年度收入合计</w:t>
      </w:r>
      <w:r>
        <w:rPr>
          <w:rFonts w:ascii="仿宋_GB2312" w:eastAsia="仿宋_GB2312" w:hAnsi="仿宋_GB2312" w:cs="仿宋_GB2312" w:hint="eastAsia"/>
          <w:sz w:val="32"/>
          <w:szCs w:val="32"/>
          <w:lang w:val="zh-CN"/>
        </w:rPr>
        <w:t>2,277.43</w:t>
      </w:r>
      <w:r>
        <w:rPr>
          <w:rFonts w:ascii="仿宋_GB2312" w:eastAsia="仿宋_GB2312" w:hAnsi="仿宋_GB2312" w:cs="仿宋_GB2312" w:hint="eastAsia"/>
          <w:sz w:val="32"/>
          <w:szCs w:val="32"/>
          <w:lang w:val="zh-CN"/>
        </w:rPr>
        <w:t>万元，其中：财政拨款收入</w:t>
      </w:r>
      <w:r>
        <w:rPr>
          <w:rFonts w:ascii="仿宋_GB2312" w:eastAsia="仿宋_GB2312" w:hAnsi="仿宋_GB2312" w:cs="仿宋_GB2312" w:hint="eastAsia"/>
          <w:sz w:val="32"/>
          <w:szCs w:val="32"/>
          <w:lang w:val="zh-CN"/>
        </w:rPr>
        <w:t>2,200.36</w:t>
      </w:r>
      <w:r>
        <w:rPr>
          <w:rFonts w:ascii="仿宋_GB2312" w:eastAsia="仿宋_GB2312" w:hAnsi="仿宋_GB2312" w:cs="仿宋_GB2312" w:hint="eastAsia"/>
          <w:sz w:val="32"/>
          <w:szCs w:val="32"/>
          <w:lang w:val="zh-CN"/>
        </w:rPr>
        <w:t>万元，占</w:t>
      </w:r>
      <w:r>
        <w:rPr>
          <w:rFonts w:ascii="仿宋_GB2312" w:eastAsia="仿宋_GB2312" w:hAnsi="仿宋_GB2312" w:cs="仿宋_GB2312" w:hint="eastAsia"/>
          <w:sz w:val="32"/>
          <w:szCs w:val="32"/>
          <w:lang w:val="zh-CN"/>
        </w:rPr>
        <w:t>96.62%</w:t>
      </w:r>
      <w:r>
        <w:rPr>
          <w:rFonts w:ascii="仿宋_GB2312" w:eastAsia="仿宋_GB2312" w:hAnsi="仿宋_GB2312" w:cs="仿宋_GB2312" w:hint="eastAsia"/>
          <w:sz w:val="32"/>
          <w:szCs w:val="32"/>
          <w:lang w:val="zh-CN"/>
        </w:rPr>
        <w:t>；上级补助收入</w:t>
      </w:r>
      <w:r>
        <w:rPr>
          <w:rFonts w:ascii="仿宋_GB2312" w:eastAsia="仿宋_GB2312" w:hAnsi="仿宋_GB2312" w:cs="仿宋_GB2312" w:hint="eastAsia"/>
          <w:sz w:val="32"/>
          <w:szCs w:val="32"/>
          <w:lang w:val="zh-CN"/>
        </w:rPr>
        <w:t>0</w:t>
      </w:r>
      <w:r>
        <w:rPr>
          <w:rFonts w:ascii="仿宋_GB2312" w:eastAsia="仿宋_GB2312" w:hAnsi="仿宋_GB2312" w:cs="仿宋_GB2312"/>
          <w:sz w:val="32"/>
          <w:szCs w:val="32"/>
          <w:lang w:val="zh-CN"/>
        </w:rPr>
        <w:t>.00</w:t>
      </w:r>
      <w:r>
        <w:rPr>
          <w:rFonts w:ascii="仿宋_GB2312" w:eastAsia="仿宋_GB2312" w:hAnsi="仿宋_GB2312" w:cs="仿宋_GB2312" w:hint="eastAsia"/>
          <w:sz w:val="32"/>
          <w:szCs w:val="32"/>
          <w:lang w:val="zh-CN"/>
        </w:rPr>
        <w:t>万元；事业收入</w:t>
      </w:r>
      <w:r>
        <w:rPr>
          <w:rFonts w:ascii="仿宋_GB2312" w:eastAsia="仿宋_GB2312" w:hAnsi="仿宋_GB2312" w:cs="仿宋_GB2312" w:hint="eastAsia"/>
          <w:sz w:val="32"/>
          <w:szCs w:val="32"/>
          <w:lang w:val="zh-CN"/>
        </w:rPr>
        <w:t>0</w:t>
      </w:r>
      <w:r>
        <w:rPr>
          <w:rFonts w:ascii="仿宋_GB2312" w:eastAsia="仿宋_GB2312" w:hAnsi="仿宋_GB2312" w:cs="仿宋_GB2312"/>
          <w:sz w:val="32"/>
          <w:szCs w:val="32"/>
          <w:lang w:val="zh-CN"/>
        </w:rPr>
        <w:t>.00</w:t>
      </w:r>
      <w:r>
        <w:rPr>
          <w:rFonts w:ascii="仿宋_GB2312" w:eastAsia="仿宋_GB2312" w:hAnsi="仿宋_GB2312" w:cs="仿宋_GB2312" w:hint="eastAsia"/>
          <w:sz w:val="32"/>
          <w:szCs w:val="32"/>
          <w:lang w:val="zh-CN"/>
        </w:rPr>
        <w:t>万元；经营收入</w:t>
      </w:r>
      <w:r>
        <w:rPr>
          <w:rFonts w:ascii="仿宋_GB2312" w:eastAsia="仿宋_GB2312" w:hAnsi="仿宋_GB2312" w:cs="仿宋_GB2312" w:hint="eastAsia"/>
          <w:sz w:val="32"/>
          <w:szCs w:val="32"/>
          <w:lang w:val="zh-CN"/>
        </w:rPr>
        <w:t>0</w:t>
      </w:r>
      <w:r>
        <w:rPr>
          <w:rFonts w:ascii="仿宋_GB2312" w:eastAsia="仿宋_GB2312" w:hAnsi="仿宋_GB2312" w:cs="仿宋_GB2312"/>
          <w:sz w:val="32"/>
          <w:szCs w:val="32"/>
          <w:lang w:val="zh-CN"/>
        </w:rPr>
        <w:t>.00</w:t>
      </w:r>
      <w:r>
        <w:rPr>
          <w:rFonts w:ascii="仿宋_GB2312" w:eastAsia="仿宋_GB2312" w:hAnsi="仿宋_GB2312" w:cs="仿宋_GB2312" w:hint="eastAsia"/>
          <w:sz w:val="32"/>
          <w:szCs w:val="32"/>
          <w:lang w:val="zh-CN"/>
        </w:rPr>
        <w:t>万元；附属单位上缴收入</w:t>
      </w:r>
      <w:r>
        <w:rPr>
          <w:rFonts w:ascii="仿宋_GB2312" w:eastAsia="仿宋_GB2312" w:hAnsi="仿宋_GB2312" w:cs="仿宋_GB2312" w:hint="eastAsia"/>
          <w:sz w:val="32"/>
          <w:szCs w:val="32"/>
          <w:lang w:val="zh-CN"/>
        </w:rPr>
        <w:t>0</w:t>
      </w:r>
      <w:r>
        <w:rPr>
          <w:rFonts w:ascii="仿宋_GB2312" w:eastAsia="仿宋_GB2312" w:hAnsi="仿宋_GB2312" w:cs="仿宋_GB2312"/>
          <w:sz w:val="32"/>
          <w:szCs w:val="32"/>
          <w:lang w:val="zh-CN"/>
        </w:rPr>
        <w:t>.00</w:t>
      </w:r>
      <w:r>
        <w:rPr>
          <w:rFonts w:ascii="仿宋_GB2312" w:eastAsia="仿宋_GB2312" w:hAnsi="仿宋_GB2312" w:cs="仿宋_GB2312" w:hint="eastAsia"/>
          <w:sz w:val="32"/>
          <w:szCs w:val="32"/>
          <w:lang w:val="zh-CN"/>
        </w:rPr>
        <w:t>万元；其他收入</w:t>
      </w:r>
      <w:r>
        <w:rPr>
          <w:rFonts w:ascii="仿宋_GB2312" w:eastAsia="仿宋_GB2312" w:hAnsi="仿宋_GB2312" w:cs="仿宋_GB2312" w:hint="eastAsia"/>
          <w:sz w:val="32"/>
          <w:szCs w:val="32"/>
          <w:lang w:val="zh-CN"/>
        </w:rPr>
        <w:t>77.07</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lang w:val="zh-CN"/>
        </w:rPr>
        <w:t>，占</w:t>
      </w:r>
      <w:r>
        <w:rPr>
          <w:rFonts w:ascii="仿宋_GB2312" w:eastAsia="仿宋_GB2312" w:hAnsi="仿宋_GB2312" w:cs="仿宋_GB2312" w:hint="eastAsia"/>
          <w:sz w:val="32"/>
          <w:szCs w:val="32"/>
        </w:rPr>
        <w:t>3.38</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w:t>
      </w:r>
    </w:p>
    <w:p w:rsidR="00CE5647" w:rsidRDefault="004830D3">
      <w:pPr>
        <w:widowControl/>
        <w:spacing w:line="590" w:lineRule="exact"/>
        <w:ind w:firstLineChars="200" w:firstLine="640"/>
        <w:outlineLvl w:val="1"/>
        <w:rPr>
          <w:rFonts w:ascii="仿宋_GB2312" w:eastAsia="仿宋_GB2312" w:hAnsi="仿宋_GB2312" w:cs="仿宋_GB2312"/>
          <w:sz w:val="32"/>
          <w:szCs w:val="32"/>
        </w:rPr>
      </w:pPr>
      <w:r>
        <w:rPr>
          <w:rFonts w:ascii="黑体" w:eastAsia="黑体" w:hAnsi="黑体" w:cs="黑体" w:hint="eastAsia"/>
          <w:sz w:val="32"/>
          <w:szCs w:val="32"/>
        </w:rPr>
        <w:t>三、支出决算情况说明</w:t>
      </w:r>
    </w:p>
    <w:p w:rsidR="00CE5647" w:rsidRDefault="004830D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2020</w:t>
      </w:r>
      <w:r>
        <w:rPr>
          <w:rFonts w:ascii="仿宋_GB2312" w:eastAsia="仿宋_GB2312" w:hAnsi="仿宋_GB2312" w:cs="仿宋_GB2312" w:hint="eastAsia"/>
          <w:sz w:val="32"/>
          <w:szCs w:val="32"/>
          <w:lang w:val="zh-CN"/>
        </w:rPr>
        <w:t>年度支出合计</w:t>
      </w:r>
      <w:r>
        <w:rPr>
          <w:rFonts w:ascii="仿宋_GB2312" w:eastAsia="仿宋_GB2312" w:hAnsi="仿宋_GB2312" w:cs="仿宋_GB2312" w:hint="eastAsia"/>
          <w:sz w:val="32"/>
          <w:szCs w:val="32"/>
          <w:lang w:val="zh-CN"/>
        </w:rPr>
        <w:t>3,410.94</w:t>
      </w:r>
      <w:r>
        <w:rPr>
          <w:rFonts w:ascii="仿宋_GB2312" w:eastAsia="仿宋_GB2312" w:hAnsi="仿宋_GB2312" w:cs="仿宋_GB2312" w:hint="eastAsia"/>
          <w:sz w:val="32"/>
          <w:szCs w:val="32"/>
          <w:lang w:val="zh-CN"/>
        </w:rPr>
        <w:t>万元，其中：基本支出</w:t>
      </w:r>
      <w:r>
        <w:rPr>
          <w:rFonts w:ascii="仿宋_GB2312" w:eastAsia="仿宋_GB2312" w:hAnsi="仿宋_GB2312" w:cs="仿宋_GB2312" w:hint="eastAsia"/>
          <w:sz w:val="32"/>
          <w:szCs w:val="32"/>
          <w:lang w:val="zh-CN"/>
        </w:rPr>
        <w:t>1,182.79</w:t>
      </w:r>
      <w:r>
        <w:rPr>
          <w:rFonts w:ascii="仿宋_GB2312" w:eastAsia="仿宋_GB2312" w:hAnsi="仿宋_GB2312" w:cs="仿宋_GB2312" w:hint="eastAsia"/>
          <w:sz w:val="32"/>
          <w:szCs w:val="32"/>
          <w:lang w:val="zh-CN"/>
        </w:rPr>
        <w:t>万元，占</w:t>
      </w:r>
      <w:r>
        <w:rPr>
          <w:rFonts w:ascii="仿宋_GB2312" w:eastAsia="仿宋_GB2312" w:hAnsi="仿宋_GB2312" w:cs="仿宋_GB2312" w:hint="eastAsia"/>
          <w:sz w:val="32"/>
          <w:szCs w:val="32"/>
          <w:lang w:val="zh-CN"/>
        </w:rPr>
        <w:t>34.68%</w:t>
      </w:r>
      <w:r>
        <w:rPr>
          <w:rFonts w:ascii="仿宋_GB2312" w:eastAsia="仿宋_GB2312" w:hAnsi="仿宋_GB2312" w:cs="仿宋_GB2312" w:hint="eastAsia"/>
          <w:sz w:val="32"/>
          <w:szCs w:val="32"/>
          <w:lang w:val="zh-CN"/>
        </w:rPr>
        <w:t>；项目支出</w:t>
      </w:r>
      <w:r>
        <w:rPr>
          <w:rFonts w:ascii="仿宋_GB2312" w:eastAsia="仿宋_GB2312" w:hAnsi="仿宋_GB2312" w:cs="仿宋_GB2312" w:hint="eastAsia"/>
          <w:sz w:val="32"/>
          <w:szCs w:val="32"/>
          <w:lang w:val="zh-CN"/>
        </w:rPr>
        <w:t>2,228.16</w:t>
      </w:r>
      <w:r>
        <w:rPr>
          <w:rFonts w:ascii="仿宋_GB2312" w:eastAsia="仿宋_GB2312" w:hAnsi="仿宋_GB2312" w:cs="仿宋_GB2312" w:hint="eastAsia"/>
          <w:sz w:val="32"/>
          <w:szCs w:val="32"/>
          <w:lang w:val="zh-CN"/>
        </w:rPr>
        <w:t>万元，占</w:t>
      </w:r>
      <w:r>
        <w:rPr>
          <w:rFonts w:ascii="仿宋_GB2312" w:eastAsia="仿宋_GB2312" w:hAnsi="仿宋_GB2312" w:cs="仿宋_GB2312" w:hint="eastAsia"/>
          <w:sz w:val="32"/>
          <w:szCs w:val="32"/>
          <w:lang w:val="zh-CN"/>
        </w:rPr>
        <w:t>65.32%</w:t>
      </w:r>
      <w:r>
        <w:rPr>
          <w:rFonts w:ascii="仿宋_GB2312" w:eastAsia="仿宋_GB2312" w:hAnsi="仿宋_GB2312" w:cs="仿宋_GB2312" w:hint="eastAsia"/>
          <w:sz w:val="32"/>
          <w:szCs w:val="32"/>
          <w:lang w:val="zh-CN"/>
        </w:rPr>
        <w:t>；上缴上级支出</w:t>
      </w:r>
      <w:r>
        <w:rPr>
          <w:rFonts w:ascii="仿宋_GB2312" w:eastAsia="仿宋_GB2312" w:hAnsi="仿宋_GB2312" w:cs="仿宋_GB2312" w:hint="eastAsia"/>
          <w:sz w:val="32"/>
          <w:szCs w:val="32"/>
          <w:lang w:val="zh-CN"/>
        </w:rPr>
        <w:t>0</w:t>
      </w:r>
      <w:r>
        <w:rPr>
          <w:rFonts w:ascii="仿宋_GB2312" w:eastAsia="仿宋_GB2312" w:hAnsi="仿宋_GB2312" w:cs="仿宋_GB2312"/>
          <w:sz w:val="32"/>
          <w:szCs w:val="32"/>
          <w:lang w:val="zh-CN"/>
        </w:rPr>
        <w:t>.00</w:t>
      </w:r>
      <w:r>
        <w:rPr>
          <w:rFonts w:ascii="仿宋_GB2312" w:eastAsia="仿宋_GB2312" w:hAnsi="仿宋_GB2312" w:cs="仿宋_GB2312" w:hint="eastAsia"/>
          <w:sz w:val="32"/>
          <w:szCs w:val="32"/>
          <w:lang w:val="zh-CN"/>
        </w:rPr>
        <w:t>万元；经营支出</w:t>
      </w:r>
      <w:r>
        <w:rPr>
          <w:rFonts w:ascii="仿宋_GB2312" w:eastAsia="仿宋_GB2312" w:hAnsi="仿宋_GB2312" w:cs="仿宋_GB2312" w:hint="eastAsia"/>
          <w:sz w:val="32"/>
          <w:szCs w:val="32"/>
          <w:lang w:val="zh-CN"/>
        </w:rPr>
        <w:t>0</w:t>
      </w:r>
      <w:r>
        <w:rPr>
          <w:rFonts w:ascii="仿宋_GB2312" w:eastAsia="仿宋_GB2312" w:hAnsi="仿宋_GB2312" w:cs="仿宋_GB2312"/>
          <w:sz w:val="32"/>
          <w:szCs w:val="32"/>
          <w:lang w:val="zh-CN"/>
        </w:rPr>
        <w:t>.00</w:t>
      </w:r>
      <w:r>
        <w:rPr>
          <w:rFonts w:ascii="仿宋_GB2312" w:eastAsia="仿宋_GB2312" w:hAnsi="仿宋_GB2312" w:cs="仿宋_GB2312" w:hint="eastAsia"/>
          <w:sz w:val="32"/>
          <w:szCs w:val="32"/>
          <w:lang w:val="zh-CN"/>
        </w:rPr>
        <w:t>万元；对附属单位补助支出</w:t>
      </w:r>
      <w:r>
        <w:rPr>
          <w:rFonts w:ascii="仿宋_GB2312" w:eastAsia="仿宋_GB2312" w:hAnsi="仿宋_GB2312" w:cs="仿宋_GB2312" w:hint="eastAsia"/>
          <w:sz w:val="32"/>
          <w:szCs w:val="32"/>
          <w:lang w:val="zh-CN"/>
        </w:rPr>
        <w:t>0</w:t>
      </w:r>
      <w:r>
        <w:rPr>
          <w:rFonts w:ascii="仿宋_GB2312" w:eastAsia="仿宋_GB2312" w:hAnsi="仿宋_GB2312" w:cs="仿宋_GB2312"/>
          <w:sz w:val="32"/>
          <w:szCs w:val="32"/>
          <w:lang w:val="zh-CN"/>
        </w:rPr>
        <w:t>.00</w:t>
      </w:r>
      <w:r>
        <w:rPr>
          <w:rFonts w:ascii="仿宋_GB2312" w:eastAsia="仿宋_GB2312" w:hAnsi="仿宋_GB2312" w:cs="仿宋_GB2312" w:hint="eastAsia"/>
          <w:sz w:val="32"/>
          <w:szCs w:val="32"/>
          <w:lang w:val="zh-CN"/>
        </w:rPr>
        <w:t>万元。</w:t>
      </w:r>
    </w:p>
    <w:p w:rsidR="00CE5647" w:rsidRDefault="004830D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CE5647" w:rsidRDefault="004830D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2020</w:t>
      </w:r>
      <w:r>
        <w:rPr>
          <w:rFonts w:ascii="仿宋_GB2312" w:eastAsia="仿宋_GB2312" w:hAnsi="仿宋_GB2312" w:cs="仿宋_GB2312" w:hint="eastAsia"/>
          <w:sz w:val="32"/>
          <w:szCs w:val="32"/>
          <w:lang w:val="zh-CN"/>
        </w:rPr>
        <w:t>年度财政拨款收、支总计均为</w:t>
      </w:r>
      <w:r>
        <w:rPr>
          <w:rFonts w:ascii="仿宋_GB2312" w:eastAsia="仿宋_GB2312" w:hAnsi="仿宋_GB2312" w:cs="仿宋_GB2312" w:hint="eastAsia"/>
          <w:sz w:val="32"/>
          <w:szCs w:val="32"/>
          <w:lang w:val="zh-CN"/>
        </w:rPr>
        <w:t>3,871.32</w:t>
      </w:r>
      <w:r>
        <w:rPr>
          <w:rFonts w:ascii="仿宋_GB2312" w:eastAsia="仿宋_GB2312" w:hAnsi="仿宋_GB2312" w:cs="仿宋_GB2312" w:hint="eastAsia"/>
          <w:sz w:val="32"/>
          <w:szCs w:val="32"/>
          <w:lang w:val="zh-CN"/>
        </w:rPr>
        <w:t>万元。与上年度相比，财政拨款收、支总计各减少</w:t>
      </w:r>
      <w:r>
        <w:rPr>
          <w:rFonts w:ascii="仿宋_GB2312" w:eastAsia="仿宋_GB2312" w:hAnsi="仿宋_GB2312" w:cs="仿宋_GB2312" w:hint="eastAsia"/>
          <w:sz w:val="32"/>
          <w:szCs w:val="32"/>
          <w:lang w:val="zh-CN"/>
        </w:rPr>
        <w:t>1,249.19</w:t>
      </w:r>
      <w:r>
        <w:rPr>
          <w:rFonts w:ascii="仿宋_GB2312" w:eastAsia="仿宋_GB2312" w:hAnsi="仿宋_GB2312" w:cs="仿宋_GB2312" w:hint="eastAsia"/>
          <w:sz w:val="32"/>
          <w:szCs w:val="32"/>
          <w:lang w:val="zh-CN"/>
        </w:rPr>
        <w:t>万元，下降</w:t>
      </w:r>
      <w:r>
        <w:rPr>
          <w:rFonts w:ascii="仿宋_GB2312" w:eastAsia="仿宋_GB2312" w:hAnsi="仿宋_GB2312" w:cs="仿宋_GB2312" w:hint="eastAsia"/>
          <w:sz w:val="32"/>
          <w:szCs w:val="32"/>
          <w:lang w:val="zh-CN"/>
        </w:rPr>
        <w:t>32.27%</w:t>
      </w:r>
      <w:r>
        <w:rPr>
          <w:rFonts w:ascii="仿宋_GB2312" w:eastAsia="仿宋_GB2312" w:hAnsi="仿宋_GB2312" w:cs="仿宋_GB2312" w:hint="eastAsia"/>
          <w:sz w:val="32"/>
          <w:szCs w:val="32"/>
          <w:lang w:val="zh-CN"/>
        </w:rPr>
        <w:t>。主要原因是：一是减少了设备</w:t>
      </w:r>
      <w:r>
        <w:rPr>
          <w:rFonts w:ascii="仿宋_GB2312" w:eastAsia="仿宋_GB2312" w:hAnsi="仿宋_GB2312" w:cs="仿宋_GB2312" w:hint="eastAsia"/>
          <w:sz w:val="32"/>
          <w:szCs w:val="32"/>
        </w:rPr>
        <w:t>购置；二是年末结转和结余减少</w:t>
      </w:r>
      <w:r>
        <w:rPr>
          <w:rFonts w:ascii="仿宋_GB2312" w:eastAsia="仿宋_GB2312" w:hAnsi="仿宋_GB2312" w:cs="仿宋_GB2312" w:hint="eastAsia"/>
          <w:sz w:val="32"/>
          <w:szCs w:val="32"/>
          <w:lang w:val="zh-CN"/>
        </w:rPr>
        <w:t>。</w:t>
      </w:r>
    </w:p>
    <w:p w:rsidR="00CE5647" w:rsidRDefault="004830D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CE5647" w:rsidRDefault="004830D3">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CE5647" w:rsidRDefault="004830D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2020</w:t>
      </w:r>
      <w:r>
        <w:rPr>
          <w:rFonts w:ascii="仿宋_GB2312" w:eastAsia="仿宋_GB2312" w:hAnsi="仿宋_GB2312" w:cs="仿宋_GB2312" w:hint="eastAsia"/>
          <w:sz w:val="32"/>
          <w:szCs w:val="32"/>
          <w:lang w:val="zh-CN"/>
        </w:rPr>
        <w:t>年度一般公共预算财政拨款支出</w:t>
      </w:r>
      <w:r>
        <w:rPr>
          <w:rFonts w:ascii="仿宋_GB2312" w:eastAsia="仿宋_GB2312" w:hAnsi="仿宋_GB2312" w:cs="仿宋_GB2312" w:hint="eastAsia"/>
          <w:sz w:val="32"/>
          <w:szCs w:val="32"/>
          <w:lang w:val="zh-CN"/>
        </w:rPr>
        <w:t>3,333.87</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rPr>
        <w:t>占本年支出合计的</w:t>
      </w:r>
      <w:r>
        <w:rPr>
          <w:rFonts w:ascii="仿宋_GB2312" w:eastAsia="仿宋_GB2312" w:hAnsi="仿宋_GB2312" w:cs="仿宋_GB2312" w:hint="eastAsia"/>
          <w:sz w:val="32"/>
          <w:szCs w:val="32"/>
          <w:lang w:val="zh-CN"/>
        </w:rPr>
        <w:t>97.74%</w:t>
      </w:r>
      <w:r>
        <w:rPr>
          <w:rFonts w:ascii="仿宋_GB2312" w:eastAsia="仿宋_GB2312" w:hAnsi="仿宋_GB2312" w:cs="仿宋_GB2312" w:hint="eastAsia"/>
          <w:sz w:val="32"/>
          <w:szCs w:val="32"/>
          <w:lang w:val="zh-CN"/>
        </w:rPr>
        <w:t>。与上年度相比，一般公共预算财政</w:t>
      </w:r>
      <w:r>
        <w:rPr>
          <w:rFonts w:ascii="仿宋_GB2312" w:eastAsia="仿宋_GB2312" w:hAnsi="仿宋_GB2312" w:cs="仿宋_GB2312" w:hint="eastAsia"/>
          <w:sz w:val="32"/>
          <w:szCs w:val="32"/>
          <w:lang w:val="zh-CN"/>
        </w:rPr>
        <w:lastRenderedPageBreak/>
        <w:t>拨款支出减少</w:t>
      </w:r>
      <w:r>
        <w:rPr>
          <w:rFonts w:ascii="仿宋_GB2312" w:eastAsia="仿宋_GB2312" w:hAnsi="仿宋_GB2312" w:cs="仿宋_GB2312" w:hint="eastAsia"/>
          <w:sz w:val="32"/>
          <w:szCs w:val="32"/>
          <w:lang w:val="zh-CN"/>
        </w:rPr>
        <w:t>344.2</w:t>
      </w:r>
      <w:r>
        <w:rPr>
          <w:rFonts w:ascii="仿宋_GB2312" w:eastAsia="仿宋_GB2312" w:hAnsi="仿宋_GB2312" w:cs="仿宋_GB2312" w:hint="eastAsia"/>
          <w:sz w:val="32"/>
          <w:szCs w:val="32"/>
          <w:lang w:val="zh-CN"/>
        </w:rPr>
        <w:t>万元，下降</w:t>
      </w:r>
      <w:r>
        <w:rPr>
          <w:rFonts w:ascii="仿宋_GB2312" w:eastAsia="仿宋_GB2312" w:hAnsi="仿宋_GB2312" w:cs="仿宋_GB2312" w:hint="eastAsia"/>
          <w:sz w:val="32"/>
          <w:szCs w:val="32"/>
          <w:lang w:val="zh-CN"/>
        </w:rPr>
        <w:t>9.3</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。主要原因是减少了</w:t>
      </w:r>
      <w:r>
        <w:rPr>
          <w:rFonts w:ascii="仿宋_GB2312" w:eastAsia="仿宋_GB2312" w:hAnsi="仿宋_GB2312" w:cs="仿宋_GB2312" w:hint="eastAsia"/>
          <w:sz w:val="32"/>
          <w:szCs w:val="32"/>
        </w:rPr>
        <w:t>设备购置支出，减少了人员经费支出</w:t>
      </w:r>
      <w:r>
        <w:rPr>
          <w:rFonts w:ascii="仿宋_GB2312" w:eastAsia="仿宋_GB2312" w:hAnsi="仿宋_GB2312" w:cs="仿宋_GB2312" w:hint="eastAsia"/>
          <w:sz w:val="32"/>
          <w:szCs w:val="32"/>
          <w:lang w:val="zh-CN"/>
        </w:rPr>
        <w:t>。</w:t>
      </w:r>
    </w:p>
    <w:p w:rsidR="00CE5647" w:rsidRDefault="004830D3">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CE5647" w:rsidRDefault="004830D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2020</w:t>
      </w:r>
      <w:r>
        <w:rPr>
          <w:rFonts w:ascii="仿宋_GB2312" w:eastAsia="仿宋_GB2312" w:hAnsi="仿宋_GB2312" w:cs="仿宋_GB2312" w:hint="eastAsia"/>
          <w:sz w:val="32"/>
          <w:szCs w:val="32"/>
          <w:lang w:val="zh-CN"/>
        </w:rPr>
        <w:t>年度一般公共预算财政拨款支出</w:t>
      </w:r>
      <w:r>
        <w:rPr>
          <w:rFonts w:ascii="仿宋_GB2312" w:eastAsia="仿宋_GB2312" w:hAnsi="仿宋_GB2312" w:cs="仿宋_GB2312" w:hint="eastAsia"/>
          <w:sz w:val="32"/>
          <w:szCs w:val="32"/>
          <w:lang w:val="zh-CN"/>
        </w:rPr>
        <w:t>3,333.87</w:t>
      </w:r>
      <w:r>
        <w:rPr>
          <w:rFonts w:ascii="仿宋_GB2312" w:eastAsia="仿宋_GB2312" w:hAnsi="仿宋_GB2312" w:cs="仿宋_GB2312" w:hint="eastAsia"/>
          <w:sz w:val="32"/>
          <w:szCs w:val="32"/>
          <w:lang w:val="zh-CN"/>
        </w:rPr>
        <w:t>万元，主要用于以下方面：一般公共服务支出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074.44</w:t>
      </w:r>
      <w:r>
        <w:rPr>
          <w:rFonts w:ascii="仿宋_GB2312" w:eastAsia="仿宋_GB2312" w:hAnsi="仿宋_GB2312" w:cs="仿宋_GB2312" w:hint="eastAsia"/>
          <w:sz w:val="32"/>
          <w:szCs w:val="32"/>
          <w:lang w:val="zh-CN"/>
        </w:rPr>
        <w:t>万元，占</w:t>
      </w:r>
      <w:r>
        <w:rPr>
          <w:rFonts w:ascii="仿宋_GB2312" w:eastAsia="仿宋_GB2312" w:hAnsi="仿宋_GB2312" w:cs="仿宋_GB2312" w:hint="eastAsia"/>
          <w:sz w:val="32"/>
          <w:szCs w:val="32"/>
        </w:rPr>
        <w:t>92.22</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；社会保障和就业支出</w:t>
      </w:r>
      <w:r>
        <w:rPr>
          <w:rFonts w:ascii="仿宋_GB2312" w:eastAsia="仿宋_GB2312" w:hAnsi="仿宋_GB2312" w:cs="仿宋_GB2312" w:hint="eastAsia"/>
          <w:sz w:val="32"/>
          <w:szCs w:val="32"/>
        </w:rPr>
        <w:t>230.93</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6.93%</w:t>
      </w:r>
      <w:r>
        <w:rPr>
          <w:rFonts w:ascii="仿宋_GB2312" w:eastAsia="仿宋_GB2312" w:hAnsi="仿宋_GB2312" w:cs="仿宋_GB2312" w:hint="eastAsia"/>
          <w:sz w:val="32"/>
          <w:szCs w:val="32"/>
        </w:rPr>
        <w:t>；卫生健康支出</w:t>
      </w:r>
      <w:r>
        <w:rPr>
          <w:rFonts w:ascii="仿宋_GB2312" w:eastAsia="仿宋_GB2312" w:hAnsi="仿宋_GB2312" w:cs="仿宋_GB2312" w:hint="eastAsia"/>
          <w:sz w:val="32"/>
          <w:szCs w:val="32"/>
        </w:rPr>
        <w:t>28.49</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0.85%</w:t>
      </w:r>
      <w:r>
        <w:rPr>
          <w:rFonts w:ascii="仿宋_GB2312" w:eastAsia="仿宋_GB2312" w:hAnsi="仿宋_GB2312" w:cs="仿宋_GB2312" w:hint="eastAsia"/>
          <w:sz w:val="32"/>
          <w:szCs w:val="32"/>
        </w:rPr>
        <w:t>。</w:t>
      </w:r>
    </w:p>
    <w:p w:rsidR="00CE5647" w:rsidRDefault="004830D3">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CE5647" w:rsidRDefault="004830D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2020</w:t>
      </w:r>
      <w:r>
        <w:rPr>
          <w:rFonts w:ascii="仿宋_GB2312" w:eastAsia="仿宋_GB2312" w:hAnsi="仿宋_GB2312" w:cs="仿宋_GB2312" w:hint="eastAsia"/>
          <w:sz w:val="32"/>
          <w:szCs w:val="32"/>
          <w:lang w:val="zh-CN"/>
        </w:rPr>
        <w:t>年度一般公共预算财政拨款支出年初预算为</w:t>
      </w:r>
      <w:r>
        <w:rPr>
          <w:rFonts w:ascii="仿宋_GB2312" w:eastAsia="仿宋_GB2312" w:hAnsi="仿宋_GB2312" w:cs="仿宋_GB2312" w:hint="eastAsia"/>
          <w:sz w:val="32"/>
          <w:szCs w:val="32"/>
          <w:lang w:val="zh-CN"/>
        </w:rPr>
        <w:t>2,193.24</w:t>
      </w:r>
      <w:r>
        <w:rPr>
          <w:rFonts w:ascii="仿宋_GB2312" w:eastAsia="仿宋_GB2312" w:hAnsi="仿宋_GB2312" w:cs="仿宋_GB2312" w:hint="eastAsia"/>
          <w:sz w:val="32"/>
          <w:szCs w:val="32"/>
          <w:lang w:val="zh-CN"/>
        </w:rPr>
        <w:t>万元，支出决算为</w:t>
      </w:r>
      <w:r>
        <w:rPr>
          <w:rFonts w:ascii="仿宋_GB2312" w:eastAsia="仿宋_GB2312" w:hAnsi="仿宋_GB2312" w:cs="仿宋_GB2312" w:hint="eastAsia"/>
          <w:sz w:val="32"/>
          <w:szCs w:val="32"/>
          <w:lang w:val="zh-CN"/>
        </w:rPr>
        <w:t>3,333.87</w:t>
      </w:r>
      <w:r>
        <w:rPr>
          <w:rFonts w:ascii="仿宋_GB2312" w:eastAsia="仿宋_GB2312" w:hAnsi="仿宋_GB2312" w:cs="仿宋_GB2312" w:hint="eastAsia"/>
          <w:sz w:val="32"/>
          <w:szCs w:val="32"/>
          <w:lang w:val="zh-CN"/>
        </w:rPr>
        <w:t>万元，完成年初预算的</w:t>
      </w:r>
      <w:r>
        <w:rPr>
          <w:rFonts w:ascii="仿宋_GB2312" w:eastAsia="仿宋_GB2312" w:hAnsi="仿宋_GB2312" w:cs="仿宋_GB2312" w:hint="eastAsia"/>
          <w:sz w:val="32"/>
          <w:szCs w:val="32"/>
          <w:lang w:val="zh-CN"/>
        </w:rPr>
        <w:t>152.0</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其中：</w:t>
      </w:r>
    </w:p>
    <w:p w:rsidR="00CE5647" w:rsidRDefault="004830D3">
      <w:pPr>
        <w:widowControl/>
        <w:numPr>
          <w:ilvl w:val="0"/>
          <w:numId w:val="2"/>
        </w:num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一般公共服务（类）群众团体事务（款）工会事务（项）。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5.12</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5.12</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。决算数与年初预算数不存在差异。</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．一般公共服务（类）市场监督管理事务（款）市场监管执法（项）。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176.78</w:t>
      </w:r>
      <w:r>
        <w:rPr>
          <w:rFonts w:ascii="仿宋_GB2312" w:eastAsia="仿宋_GB2312" w:hAnsi="仿宋_GB2312" w:cs="仿宋_GB2312" w:hint="eastAsia"/>
          <w:sz w:val="32"/>
          <w:szCs w:val="32"/>
        </w:rPr>
        <w:t>万元。决算数与年初预算数存在差异的主要原因是市场监管执法决算数</w:t>
      </w:r>
      <w:r>
        <w:rPr>
          <w:rFonts w:ascii="仿宋_GB2312" w:eastAsia="仿宋_GB2312" w:hAnsi="仿宋_GB2312" w:cs="仿宋_GB2312" w:hint="eastAsia"/>
          <w:sz w:val="32"/>
          <w:szCs w:val="32"/>
        </w:rPr>
        <w:t>176.78</w:t>
      </w:r>
      <w:r>
        <w:rPr>
          <w:rFonts w:ascii="仿宋_GB2312" w:eastAsia="仿宋_GB2312" w:hAnsi="仿宋_GB2312" w:cs="仿宋_GB2312" w:hint="eastAsia"/>
          <w:sz w:val="32"/>
          <w:szCs w:val="32"/>
        </w:rPr>
        <w:t>万元是在职人员统发工资，</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年年初预算是在事业运行中反映。</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．一般公共服务（类）市场监督管理事务（款）质量基础（项）。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1286.10</w:t>
      </w:r>
      <w:r>
        <w:rPr>
          <w:rFonts w:ascii="仿宋_GB2312" w:eastAsia="仿宋_GB2312" w:hAnsi="仿宋_GB2312" w:cs="仿宋_GB2312" w:hint="eastAsia"/>
          <w:sz w:val="32"/>
          <w:szCs w:val="32"/>
        </w:rPr>
        <w:t>万元。决算数与年初预算数存在差异的主要原因是质量基础决</w:t>
      </w:r>
      <w:r>
        <w:rPr>
          <w:rFonts w:ascii="仿宋_GB2312" w:eastAsia="仿宋_GB2312" w:hAnsi="仿宋_GB2312" w:cs="仿宋_GB2312" w:hint="eastAsia"/>
          <w:sz w:val="32"/>
          <w:szCs w:val="32"/>
        </w:rPr>
        <w:lastRenderedPageBreak/>
        <w:t>算数</w:t>
      </w:r>
      <w:r>
        <w:rPr>
          <w:rFonts w:ascii="仿宋_GB2312" w:eastAsia="仿宋_GB2312" w:hAnsi="仿宋_GB2312" w:cs="仿宋_GB2312" w:hint="eastAsia"/>
          <w:sz w:val="32"/>
          <w:szCs w:val="32"/>
        </w:rPr>
        <w:t>1286.10</w:t>
      </w:r>
      <w:r>
        <w:rPr>
          <w:rFonts w:ascii="仿宋_GB2312" w:eastAsia="仿宋_GB2312" w:hAnsi="仿宋_GB2312" w:cs="仿宋_GB2312" w:hint="eastAsia"/>
          <w:sz w:val="32"/>
          <w:szCs w:val="32"/>
        </w:rPr>
        <w:t>万元，是</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年结转和结余在质量技术监督支持中反映，</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年调整为质量基础。</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．一般公共服务（类）市场监督管理事务（款）事业运行（项）。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844.76</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元，支出决算为</w:t>
      </w:r>
      <w:r>
        <w:rPr>
          <w:rFonts w:ascii="仿宋_GB2312" w:eastAsia="仿宋_GB2312" w:hAnsi="仿宋_GB2312" w:cs="仿宋_GB2312" w:hint="eastAsia"/>
          <w:sz w:val="32"/>
          <w:szCs w:val="32"/>
        </w:rPr>
        <w:t>664.39</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78.65%</w:t>
      </w:r>
      <w:r>
        <w:rPr>
          <w:rFonts w:ascii="仿宋_GB2312" w:eastAsia="仿宋_GB2312" w:hAnsi="仿宋_GB2312" w:cs="仿宋_GB2312" w:hint="eastAsia"/>
          <w:sz w:val="32"/>
          <w:szCs w:val="32"/>
        </w:rPr>
        <w:t>。决算数与年初预算数存在差异的主要原因是在职人员统发工资</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年年初预算在事业运行，决算在市场监管执法中反映，另外有一名在职转退休人员。</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宋体" w:cs="Courier New" w:hint="eastAsia"/>
          <w:b/>
          <w:sz w:val="32"/>
          <w:szCs w:val="32"/>
        </w:rPr>
        <w:t>5</w:t>
      </w:r>
      <w:r>
        <w:rPr>
          <w:rFonts w:ascii="仿宋_GB2312" w:eastAsia="仿宋_GB2312" w:hAnsi="宋体" w:cs="Courier New" w:hint="eastAsia"/>
          <w:b/>
          <w:sz w:val="32"/>
          <w:szCs w:val="32"/>
        </w:rPr>
        <w:t>、</w:t>
      </w:r>
      <w:r>
        <w:rPr>
          <w:rFonts w:ascii="仿宋_GB2312" w:eastAsia="仿宋_GB2312" w:hAnsi="仿宋_GB2312" w:cs="仿宋_GB2312" w:hint="eastAsia"/>
          <w:b/>
          <w:bCs/>
          <w:sz w:val="32"/>
          <w:szCs w:val="32"/>
        </w:rPr>
        <w:t>一般公共服务（类）市场监督管理事务（款）其他市场监督管理事务（项）。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1100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942.05</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85.64%</w:t>
      </w:r>
      <w:r>
        <w:rPr>
          <w:rFonts w:ascii="仿宋_GB2312" w:eastAsia="仿宋_GB2312" w:hAnsi="仿宋_GB2312" w:cs="仿宋_GB2312" w:hint="eastAsia"/>
          <w:sz w:val="32"/>
          <w:szCs w:val="32"/>
        </w:rPr>
        <w:t>。决算数与年初预算数存在差异的主要原因</w:t>
      </w: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PCR</w:t>
      </w:r>
      <w:r>
        <w:rPr>
          <w:rFonts w:ascii="仿宋_GB2312" w:eastAsia="仿宋_GB2312" w:hAnsi="仿宋_GB2312" w:cs="仿宋_GB2312" w:hint="eastAsia"/>
          <w:sz w:val="32"/>
          <w:szCs w:val="32"/>
        </w:rPr>
        <w:t>实验室改造维修款</w:t>
      </w:r>
      <w:r>
        <w:rPr>
          <w:rFonts w:ascii="仿宋_GB2312" w:eastAsia="仿宋_GB2312" w:hAnsi="仿宋_GB2312" w:cs="仿宋_GB2312" w:hint="eastAsia"/>
          <w:sz w:val="32"/>
          <w:szCs w:val="32"/>
        </w:rPr>
        <w:t>150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日拨款到位，银行已关闭支付系统，无法完成支付；（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国有资源有偿使用收入房租因疫情原因各减免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个月房租。</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6</w:t>
      </w:r>
      <w:r>
        <w:rPr>
          <w:rFonts w:ascii="仿宋_GB2312" w:eastAsia="仿宋_GB2312" w:hAnsi="仿宋_GB2312" w:cs="仿宋_GB2312" w:hint="eastAsia"/>
          <w:b/>
          <w:sz w:val="32"/>
          <w:szCs w:val="32"/>
        </w:rPr>
        <w:t>、</w:t>
      </w:r>
      <w:r>
        <w:rPr>
          <w:rFonts w:ascii="仿宋_GB2312" w:eastAsia="仿宋_GB2312" w:hAnsi="宋体" w:cs="Courier New" w:hint="eastAsia"/>
          <w:b/>
          <w:bCs/>
          <w:sz w:val="32"/>
          <w:szCs w:val="32"/>
        </w:rPr>
        <w:t>社会保障和就业（类）行政事业单位养老（款）事业单位离退休（项）。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157.60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140.53</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89.17%</w:t>
      </w:r>
      <w:r>
        <w:rPr>
          <w:rFonts w:ascii="仿宋_GB2312" w:eastAsia="仿宋_GB2312" w:hAnsi="仿宋_GB2312" w:cs="仿宋_GB2312" w:hint="eastAsia"/>
          <w:sz w:val="32"/>
          <w:szCs w:val="32"/>
        </w:rPr>
        <w:t>，决算数与年初预算数存在差异的主要原因是退休人员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去世</w:t>
      </w:r>
      <w:r>
        <w:rPr>
          <w:rFonts w:ascii="仿宋_GB2312" w:eastAsia="仿宋_GB2312" w:hAnsi="仿宋_GB2312" w:cs="仿宋_GB2312" w:hint="eastAsia"/>
          <w:sz w:val="32"/>
          <w:szCs w:val="32"/>
        </w:rPr>
        <w:t>。</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宋体" w:cs="Courier New" w:hint="eastAsia"/>
          <w:b/>
          <w:bCs/>
          <w:sz w:val="32"/>
          <w:szCs w:val="32"/>
        </w:rPr>
        <w:t>7</w:t>
      </w:r>
      <w:r>
        <w:rPr>
          <w:rFonts w:ascii="仿宋_GB2312" w:eastAsia="仿宋_GB2312" w:hAnsi="宋体" w:cs="Courier New" w:hint="eastAsia"/>
          <w:b/>
          <w:bCs/>
          <w:sz w:val="32"/>
          <w:szCs w:val="32"/>
        </w:rPr>
        <w:t>、社会保障和就业（类）行政事业单位养老（款）机关事业单位基本养老保险缴费（项）。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57.97</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59.68</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102.95%</w:t>
      </w:r>
      <w:r>
        <w:rPr>
          <w:rFonts w:ascii="仿宋_GB2312" w:eastAsia="仿宋_GB2312" w:hAnsi="仿宋_GB2312" w:cs="仿宋_GB2312" w:hint="eastAsia"/>
          <w:sz w:val="32"/>
          <w:szCs w:val="32"/>
        </w:rPr>
        <w:t>，决</w:t>
      </w:r>
      <w:r>
        <w:rPr>
          <w:rFonts w:ascii="仿宋_GB2312" w:eastAsia="仿宋_GB2312" w:hAnsi="仿宋_GB2312" w:cs="仿宋_GB2312" w:hint="eastAsia"/>
          <w:sz w:val="32"/>
          <w:szCs w:val="32"/>
        </w:rPr>
        <w:lastRenderedPageBreak/>
        <w:t>算数与年初预算数存在差异的主要原因</w:t>
      </w: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养老基数调整，基数调高，用上年结转和结余支付。</w:t>
      </w:r>
    </w:p>
    <w:p w:rsidR="00CE5647" w:rsidRDefault="004830D3">
      <w:pPr>
        <w:widowControl/>
        <w:ind w:leftChars="9" w:left="19" w:firstLineChars="194" w:firstLine="623"/>
        <w:rPr>
          <w:rFonts w:ascii="仿宋_GB2312" w:eastAsia="仿宋_GB2312" w:hAnsi="宋体" w:cs="Courier New"/>
          <w:sz w:val="32"/>
          <w:szCs w:val="32"/>
        </w:rPr>
      </w:pP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rPr>
        <w:t>、</w:t>
      </w:r>
      <w:r>
        <w:rPr>
          <w:rFonts w:ascii="仿宋_GB2312" w:eastAsia="仿宋_GB2312" w:hAnsi="宋体" w:cs="Courier New" w:hint="eastAsia"/>
          <w:b/>
          <w:bCs/>
          <w:sz w:val="32"/>
          <w:szCs w:val="32"/>
        </w:rPr>
        <w:t>社会保障和就业（类）抚恤（款）死亡抚恤（项）。</w:t>
      </w:r>
      <w:r>
        <w:rPr>
          <w:rFonts w:ascii="仿宋_GB2312" w:eastAsia="仿宋_GB2312" w:hAnsi="宋体" w:cs="Courier New" w:hint="eastAsia"/>
          <w:sz w:val="32"/>
          <w:szCs w:val="32"/>
        </w:rPr>
        <w:t>年初预算为</w:t>
      </w:r>
      <w:r>
        <w:rPr>
          <w:rFonts w:ascii="仿宋_GB2312" w:eastAsia="仿宋_GB2312" w:hAnsi="宋体" w:cs="Courier New" w:hint="eastAsia"/>
          <w:sz w:val="32"/>
          <w:szCs w:val="32"/>
        </w:rPr>
        <w:t>0</w:t>
      </w:r>
      <w:r>
        <w:rPr>
          <w:rFonts w:ascii="仿宋_GB2312" w:eastAsia="仿宋_GB2312" w:hAnsi="宋体" w:cs="Courier New"/>
          <w:sz w:val="32"/>
          <w:szCs w:val="32"/>
        </w:rPr>
        <w:t>.00</w:t>
      </w:r>
      <w:r>
        <w:rPr>
          <w:rFonts w:ascii="仿宋_GB2312" w:eastAsia="仿宋_GB2312" w:hAnsi="宋体" w:cs="Courier New" w:hint="eastAsia"/>
          <w:sz w:val="32"/>
          <w:szCs w:val="32"/>
        </w:rPr>
        <w:t>万元。支出决算</w:t>
      </w:r>
      <w:r>
        <w:rPr>
          <w:rFonts w:ascii="仿宋_GB2312" w:eastAsia="仿宋_GB2312" w:hAnsi="宋体" w:cs="Courier New" w:hint="eastAsia"/>
          <w:sz w:val="32"/>
          <w:szCs w:val="32"/>
        </w:rPr>
        <w:t>30.72</w:t>
      </w:r>
      <w:r>
        <w:rPr>
          <w:rFonts w:ascii="仿宋_GB2312" w:eastAsia="仿宋_GB2312" w:hAnsi="宋体" w:cs="Courier New" w:hint="eastAsia"/>
          <w:sz w:val="32"/>
          <w:szCs w:val="32"/>
        </w:rPr>
        <w:t>万元</w:t>
      </w:r>
      <w:r>
        <w:rPr>
          <w:rFonts w:ascii="仿宋_GB2312" w:eastAsia="仿宋_GB2312" w:hAnsi="仿宋_GB2312" w:cs="仿宋_GB2312" w:hint="eastAsia"/>
          <w:sz w:val="32"/>
          <w:szCs w:val="32"/>
        </w:rPr>
        <w:t>。</w:t>
      </w:r>
      <w:r>
        <w:rPr>
          <w:rFonts w:ascii="仿宋_GB2312" w:eastAsia="仿宋_GB2312" w:hAnsi="宋体" w:cs="Courier New" w:hint="eastAsia"/>
          <w:sz w:val="32"/>
          <w:szCs w:val="32"/>
        </w:rPr>
        <w:t>决算数与年初预算数</w:t>
      </w:r>
      <w:r>
        <w:rPr>
          <w:rFonts w:ascii="仿宋_GB2312" w:eastAsia="仿宋_GB2312" w:hAnsi="仿宋_GB2312" w:cs="仿宋_GB2312" w:hint="eastAsia"/>
          <w:sz w:val="32"/>
          <w:szCs w:val="32"/>
        </w:rPr>
        <w:t>存</w:t>
      </w:r>
      <w:r>
        <w:rPr>
          <w:rFonts w:ascii="仿宋_GB2312" w:eastAsia="仿宋_GB2312" w:hAnsi="宋体" w:cs="Courier New" w:hint="eastAsia"/>
          <w:sz w:val="32"/>
          <w:szCs w:val="32"/>
        </w:rPr>
        <w:t>在差异的主要原因是</w:t>
      </w:r>
      <w:r>
        <w:rPr>
          <w:rFonts w:ascii="仿宋_GB2312" w:eastAsia="仿宋_GB2312" w:hAnsi="宋体" w:cs="Courier New" w:hint="eastAsia"/>
          <w:sz w:val="32"/>
          <w:szCs w:val="32"/>
        </w:rPr>
        <w:t>2020</w:t>
      </w:r>
      <w:r>
        <w:rPr>
          <w:rFonts w:ascii="仿宋_GB2312" w:eastAsia="仿宋_GB2312" w:hAnsi="宋体" w:cs="Courier New" w:hint="eastAsia"/>
          <w:sz w:val="32"/>
          <w:szCs w:val="32"/>
        </w:rPr>
        <w:t>年</w:t>
      </w:r>
      <w:r>
        <w:rPr>
          <w:rFonts w:ascii="仿宋_GB2312" w:eastAsia="仿宋_GB2312" w:hAnsi="宋体" w:cs="Courier New" w:hint="eastAsia"/>
          <w:sz w:val="32"/>
          <w:szCs w:val="32"/>
        </w:rPr>
        <w:t>2</w:t>
      </w:r>
      <w:r>
        <w:rPr>
          <w:rFonts w:ascii="仿宋_GB2312" w:eastAsia="仿宋_GB2312" w:hAnsi="宋体" w:cs="Courier New" w:hint="eastAsia"/>
          <w:sz w:val="32"/>
          <w:szCs w:val="32"/>
        </w:rPr>
        <w:t>位退休人员去世，离休人员</w:t>
      </w:r>
      <w:r>
        <w:rPr>
          <w:rFonts w:ascii="仿宋_GB2312" w:eastAsia="仿宋_GB2312" w:hAnsi="宋体" w:cs="Courier New" w:hint="eastAsia"/>
          <w:sz w:val="32"/>
          <w:szCs w:val="32"/>
        </w:rPr>
        <w:t>1</w:t>
      </w:r>
      <w:r>
        <w:rPr>
          <w:rFonts w:ascii="仿宋_GB2312" w:eastAsia="仿宋_GB2312" w:hAnsi="宋体" w:cs="Courier New" w:hint="eastAsia"/>
          <w:sz w:val="32"/>
          <w:szCs w:val="32"/>
        </w:rPr>
        <w:t>人去世，追加死亡抚恤金。</w:t>
      </w:r>
    </w:p>
    <w:p w:rsidR="00CE5647" w:rsidRDefault="004830D3">
      <w:pPr>
        <w:widowControl/>
        <w:spacing w:line="590" w:lineRule="exact"/>
        <w:ind w:firstLineChars="200" w:firstLine="643"/>
        <w:rPr>
          <w:rFonts w:ascii="仿宋_GB2312" w:eastAsia="仿宋_GB2312" w:hAnsi="宋体" w:cs="Courier New"/>
          <w:sz w:val="32"/>
          <w:szCs w:val="32"/>
        </w:rPr>
      </w:pPr>
      <w:r>
        <w:rPr>
          <w:rFonts w:ascii="仿宋_GB2312" w:eastAsia="仿宋_GB2312" w:hAnsi="宋体" w:cs="Courier New" w:hint="eastAsia"/>
          <w:b/>
          <w:bCs/>
          <w:sz w:val="32"/>
          <w:szCs w:val="32"/>
        </w:rPr>
        <w:t>9</w:t>
      </w:r>
      <w:r>
        <w:rPr>
          <w:rFonts w:ascii="仿宋_GB2312" w:eastAsia="仿宋_GB2312" w:hAnsi="宋体" w:cs="Courier New" w:hint="eastAsia"/>
          <w:b/>
          <w:bCs/>
          <w:sz w:val="32"/>
          <w:szCs w:val="32"/>
        </w:rPr>
        <w:t>、卫生健康（类）行政事业单位医疗（款）事业单位医疗（项）。</w:t>
      </w:r>
      <w:r>
        <w:rPr>
          <w:rFonts w:ascii="仿宋_GB2312" w:eastAsia="仿宋_GB2312" w:hAnsi="宋体" w:cs="Courier New" w:hint="eastAsia"/>
          <w:sz w:val="32"/>
          <w:szCs w:val="32"/>
        </w:rPr>
        <w:t>年初预算为</w:t>
      </w:r>
      <w:r>
        <w:rPr>
          <w:rFonts w:ascii="仿宋_GB2312" w:eastAsia="仿宋_GB2312" w:hAnsi="宋体" w:cs="Courier New" w:hint="eastAsia"/>
          <w:sz w:val="32"/>
          <w:szCs w:val="32"/>
        </w:rPr>
        <w:t>27.79</w:t>
      </w:r>
      <w:r>
        <w:rPr>
          <w:rFonts w:ascii="仿宋_GB2312" w:eastAsia="仿宋_GB2312" w:hAnsi="宋体" w:cs="Courier New" w:hint="eastAsia"/>
          <w:sz w:val="32"/>
          <w:szCs w:val="32"/>
        </w:rPr>
        <w:t>万元。支出决算</w:t>
      </w:r>
      <w:r>
        <w:rPr>
          <w:rFonts w:ascii="仿宋_GB2312" w:eastAsia="仿宋_GB2312" w:hAnsi="宋体" w:cs="Courier New" w:hint="eastAsia"/>
          <w:sz w:val="32"/>
          <w:szCs w:val="32"/>
        </w:rPr>
        <w:t>28.49</w:t>
      </w:r>
      <w:r>
        <w:rPr>
          <w:rFonts w:ascii="仿宋_GB2312" w:eastAsia="仿宋_GB2312" w:hAnsi="宋体" w:cs="Courier New" w:hint="eastAsia"/>
          <w:sz w:val="32"/>
          <w:szCs w:val="32"/>
        </w:rPr>
        <w:t>万元</w:t>
      </w:r>
      <w:r>
        <w:rPr>
          <w:rFonts w:ascii="仿宋_GB2312" w:eastAsia="仿宋_GB2312" w:hAnsi="仿宋_GB2312" w:cs="仿宋_GB2312" w:hint="eastAsia"/>
          <w:sz w:val="32"/>
          <w:szCs w:val="32"/>
        </w:rPr>
        <w:t>。完成年初预算的</w:t>
      </w:r>
      <w:r>
        <w:rPr>
          <w:rFonts w:ascii="仿宋_GB2312" w:eastAsia="仿宋_GB2312" w:hAnsi="仿宋_GB2312" w:cs="仿宋_GB2312" w:hint="eastAsia"/>
          <w:sz w:val="32"/>
          <w:szCs w:val="32"/>
        </w:rPr>
        <w:t>102.</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宋体" w:cs="Courier New" w:hint="eastAsia"/>
          <w:sz w:val="32"/>
          <w:szCs w:val="32"/>
        </w:rPr>
        <w:t>决算数与年初预算数存在差异的主要原因是</w:t>
      </w:r>
      <w:r>
        <w:rPr>
          <w:rFonts w:ascii="仿宋_GB2312" w:eastAsia="仿宋_GB2312" w:hAnsi="仿宋_GB2312" w:cs="仿宋_GB2312" w:hint="eastAsia"/>
          <w:sz w:val="32"/>
          <w:szCs w:val="32"/>
        </w:rPr>
        <w:t>医保基数调整，基数调高，用上年结转和结余支付。</w:t>
      </w:r>
    </w:p>
    <w:p w:rsidR="00CE5647" w:rsidRDefault="004830D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CE5647" w:rsidRDefault="004830D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年度一般公共预算财政拨款基本支出</w:t>
      </w:r>
      <w:r>
        <w:rPr>
          <w:rFonts w:ascii="仿宋_GB2312" w:eastAsia="仿宋_GB2312" w:hAnsi="宋体" w:cs="Courier New" w:hint="eastAsia"/>
          <w:sz w:val="32"/>
          <w:szCs w:val="32"/>
          <w:lang w:val="zh-CN"/>
        </w:rPr>
        <w:t>1,105.71</w:t>
      </w:r>
      <w:r>
        <w:rPr>
          <w:rFonts w:ascii="仿宋_GB2312" w:eastAsia="仿宋_GB2312" w:hAnsi="仿宋_GB2312" w:cs="仿宋_GB2312" w:hint="eastAsia"/>
          <w:sz w:val="32"/>
          <w:szCs w:val="32"/>
        </w:rPr>
        <w:t>万元。其中：人员经费</w:t>
      </w:r>
      <w:r>
        <w:rPr>
          <w:rFonts w:ascii="仿宋_GB2312" w:eastAsia="仿宋_GB2312" w:hAnsi="宋体" w:cs="Courier New" w:hint="eastAsia"/>
          <w:sz w:val="32"/>
          <w:szCs w:val="32"/>
          <w:lang w:val="zh-CN"/>
        </w:rPr>
        <w:t>1,044.31</w:t>
      </w:r>
      <w:r>
        <w:rPr>
          <w:rFonts w:ascii="仿宋_GB2312" w:eastAsia="仿宋_GB2312" w:hAnsi="仿宋_GB2312" w:cs="仿宋_GB2312" w:hint="eastAsia"/>
          <w:sz w:val="32"/>
          <w:szCs w:val="32"/>
        </w:rPr>
        <w:t>万元，主要包括：基本工资、津贴补贴、绩效工资、机关事业单位基本养老保险缴费、职工基本医疗保险缴费、其他社会保障缴费、住房公积金、医疗费、对个人和家庭的补助支出、退休费、抚恤金、生活补助；公用经费</w:t>
      </w:r>
      <w:r>
        <w:rPr>
          <w:rFonts w:ascii="仿宋_GB2312" w:eastAsia="仿宋_GB2312" w:hAnsi="宋体" w:cs="Courier New" w:hint="eastAsia"/>
          <w:sz w:val="32"/>
          <w:szCs w:val="32"/>
          <w:lang w:val="zh-CN"/>
        </w:rPr>
        <w:t>61.4</w:t>
      </w:r>
      <w:r>
        <w:rPr>
          <w:rFonts w:ascii="仿宋_GB2312" w:eastAsia="仿宋_GB2312" w:hAnsi="宋体" w:cs="Courier New" w:hint="eastAsia"/>
          <w:sz w:val="32"/>
          <w:szCs w:val="32"/>
        </w:rPr>
        <w:t>0</w:t>
      </w:r>
      <w:r>
        <w:rPr>
          <w:rFonts w:ascii="仿宋_GB2312" w:eastAsia="仿宋_GB2312" w:hAnsi="宋体" w:cs="Courier New" w:hint="eastAsia"/>
          <w:sz w:val="32"/>
          <w:szCs w:val="32"/>
          <w:lang w:val="zh-CN"/>
        </w:rPr>
        <w:t>万元，主要包括：办公费、印刷费、咨询费</w:t>
      </w:r>
      <w:r>
        <w:rPr>
          <w:rFonts w:ascii="仿宋_GB2312" w:eastAsia="仿宋_GB2312" w:hAnsi="仿宋_GB2312" w:cs="仿宋_GB2312" w:hint="eastAsia"/>
          <w:sz w:val="32"/>
          <w:szCs w:val="32"/>
        </w:rPr>
        <w:t>、差旅费、会议费、培训费、公务接待费、工会经费、福利费、公务用车运行维护费。</w:t>
      </w:r>
    </w:p>
    <w:p w:rsidR="00CE5647" w:rsidRDefault="004830D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CE5647" w:rsidRDefault="004830D3">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CE5647" w:rsidRDefault="004830D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lastRenderedPageBreak/>
        <w:t>2020</w:t>
      </w:r>
      <w:r>
        <w:rPr>
          <w:rFonts w:ascii="仿宋_GB2312" w:eastAsia="仿宋_GB2312" w:hAnsi="仿宋_GB2312" w:cs="仿宋_GB2312" w:hint="eastAsia"/>
          <w:sz w:val="32"/>
          <w:szCs w:val="32"/>
          <w:lang w:val="zh-CN"/>
        </w:rPr>
        <w:t>年度</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三公</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经费财政拨款支出预算为</w:t>
      </w:r>
      <w:r>
        <w:rPr>
          <w:rFonts w:ascii="仿宋_GB2312" w:eastAsia="仿宋_GB2312" w:hAnsi="仿宋_GB2312" w:cs="仿宋_GB2312" w:hint="eastAsia"/>
          <w:sz w:val="32"/>
          <w:szCs w:val="32"/>
          <w:lang w:val="zh-CN"/>
        </w:rPr>
        <w:t>18.6</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lang w:val="zh-CN"/>
        </w:rPr>
        <w:t>万元，支出决算为</w:t>
      </w:r>
      <w:r>
        <w:rPr>
          <w:rFonts w:ascii="仿宋_GB2312" w:eastAsia="仿宋_GB2312" w:hAnsi="仿宋_GB2312" w:cs="仿宋_GB2312" w:hint="eastAsia"/>
          <w:sz w:val="32"/>
          <w:szCs w:val="32"/>
          <w:lang w:val="zh-CN"/>
        </w:rPr>
        <w:t>14.66</w:t>
      </w:r>
      <w:r>
        <w:rPr>
          <w:rFonts w:ascii="仿宋_GB2312" w:eastAsia="仿宋_GB2312" w:hAnsi="仿宋_GB2312" w:cs="仿宋_GB2312" w:hint="eastAsia"/>
          <w:sz w:val="32"/>
          <w:szCs w:val="32"/>
          <w:lang w:val="zh-CN"/>
        </w:rPr>
        <w:t>万元，完成预算的</w:t>
      </w:r>
      <w:r>
        <w:rPr>
          <w:rFonts w:ascii="仿宋_GB2312" w:eastAsia="仿宋_GB2312" w:hAnsi="仿宋_GB2312" w:cs="仿宋_GB2312" w:hint="eastAsia"/>
          <w:sz w:val="32"/>
          <w:szCs w:val="32"/>
          <w:lang w:val="zh-CN"/>
        </w:rPr>
        <w:t>78.8</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2020</w:t>
      </w:r>
      <w:r>
        <w:rPr>
          <w:rFonts w:ascii="仿宋_GB2312" w:eastAsia="仿宋_GB2312" w:hAnsi="仿宋_GB2312" w:cs="仿宋_GB2312" w:hint="eastAsia"/>
          <w:sz w:val="32"/>
          <w:szCs w:val="32"/>
          <w:lang w:val="zh-CN"/>
        </w:rPr>
        <w:t>年度</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三公</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经费支出决算数与预算数存在差异的主要原因是我</w:t>
      </w:r>
      <w:r>
        <w:rPr>
          <w:rFonts w:ascii="仿宋_GB2312" w:eastAsia="仿宋_GB2312" w:hAnsi="仿宋_GB2312" w:cs="仿宋_GB2312" w:hint="eastAsia"/>
          <w:sz w:val="32"/>
          <w:szCs w:val="32"/>
        </w:rPr>
        <w:t>单位严格执行中央八项规定，从严控制“三公”经费，节假日统一封车，压缩“三公”经费支出。</w:t>
      </w:r>
    </w:p>
    <w:p w:rsidR="00CE5647" w:rsidRDefault="004830D3">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CE5647" w:rsidRDefault="004830D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2020</w:t>
      </w:r>
      <w:r>
        <w:rPr>
          <w:rFonts w:ascii="仿宋_GB2312" w:eastAsia="仿宋_GB2312" w:hAnsi="仿宋_GB2312" w:cs="仿宋_GB2312" w:hint="eastAsia"/>
          <w:sz w:val="32"/>
          <w:szCs w:val="32"/>
          <w:lang w:val="zh-CN"/>
        </w:rPr>
        <w:t>年度</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三公</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经费财政拨款支出决算中，因公出国（境）费支出决算</w:t>
      </w:r>
      <w:r>
        <w:rPr>
          <w:rFonts w:ascii="仿宋_GB2312" w:eastAsia="仿宋_GB2312" w:hAnsi="仿宋_GB2312" w:cs="仿宋_GB2312" w:hint="eastAsia"/>
          <w:sz w:val="32"/>
          <w:szCs w:val="32"/>
          <w:lang w:val="zh-CN"/>
        </w:rPr>
        <w:t>0</w:t>
      </w:r>
      <w:r>
        <w:rPr>
          <w:rFonts w:ascii="仿宋_GB2312" w:eastAsia="仿宋_GB2312" w:hAnsi="仿宋_GB2312" w:cs="仿宋_GB2312"/>
          <w:sz w:val="32"/>
          <w:szCs w:val="32"/>
          <w:lang w:val="zh-CN"/>
        </w:rPr>
        <w:t>.00</w:t>
      </w:r>
      <w:r>
        <w:rPr>
          <w:rFonts w:ascii="仿宋_GB2312" w:eastAsia="仿宋_GB2312" w:hAnsi="仿宋_GB2312" w:cs="仿宋_GB2312" w:hint="eastAsia"/>
          <w:sz w:val="32"/>
          <w:szCs w:val="32"/>
          <w:lang w:val="zh-CN"/>
        </w:rPr>
        <w:t>万元；公务用车购置及运行费支出决算</w:t>
      </w:r>
      <w:r>
        <w:rPr>
          <w:rFonts w:ascii="仿宋_GB2312" w:eastAsia="仿宋_GB2312" w:hAnsi="仿宋_GB2312" w:cs="仿宋_GB2312" w:hint="eastAsia"/>
          <w:sz w:val="32"/>
          <w:szCs w:val="32"/>
          <w:lang w:val="zh-CN"/>
        </w:rPr>
        <w:t>13.07</w:t>
      </w:r>
      <w:r>
        <w:rPr>
          <w:rFonts w:ascii="仿宋_GB2312" w:eastAsia="仿宋_GB2312" w:hAnsi="仿宋_GB2312" w:cs="仿宋_GB2312" w:hint="eastAsia"/>
          <w:sz w:val="32"/>
          <w:szCs w:val="32"/>
          <w:lang w:val="zh-CN"/>
        </w:rPr>
        <w:t>万元，完成预算的</w:t>
      </w:r>
      <w:r>
        <w:rPr>
          <w:rFonts w:ascii="仿宋_GB2312" w:eastAsia="仿宋_GB2312" w:hAnsi="仿宋_GB2312" w:cs="仿宋_GB2312" w:hint="eastAsia"/>
          <w:sz w:val="32"/>
          <w:szCs w:val="32"/>
          <w:lang w:val="zh-CN"/>
        </w:rPr>
        <w:t>76.</w:t>
      </w:r>
      <w:r>
        <w:rPr>
          <w:rFonts w:ascii="仿宋_GB2312" w:eastAsia="仿宋_GB2312" w:hAnsi="仿宋_GB2312" w:cs="仿宋_GB2312" w:hint="eastAsia"/>
          <w:sz w:val="32"/>
          <w:szCs w:val="32"/>
        </w:rPr>
        <w:t>88</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，占</w:t>
      </w:r>
      <w:r>
        <w:rPr>
          <w:rFonts w:ascii="仿宋_GB2312" w:eastAsia="仿宋_GB2312" w:hAnsi="仿宋_GB2312" w:cs="仿宋_GB2312" w:hint="eastAsia"/>
          <w:sz w:val="32"/>
          <w:szCs w:val="32"/>
          <w:lang w:val="zh-CN"/>
        </w:rPr>
        <w:t>89.</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；公务接待费支出决算</w:t>
      </w:r>
      <w:r>
        <w:rPr>
          <w:rFonts w:ascii="仿宋_GB2312" w:eastAsia="仿宋_GB2312" w:hAnsi="仿宋_GB2312" w:cs="仿宋_GB2312" w:hint="eastAsia"/>
          <w:sz w:val="32"/>
          <w:szCs w:val="32"/>
          <w:lang w:val="zh-CN"/>
        </w:rPr>
        <w:t>1.5</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lang w:val="zh-CN"/>
        </w:rPr>
        <w:t>万元，完成预算的</w:t>
      </w:r>
      <w:r>
        <w:rPr>
          <w:rFonts w:ascii="仿宋_GB2312" w:eastAsia="仿宋_GB2312" w:hAnsi="仿宋_GB2312" w:cs="仿宋_GB2312" w:hint="eastAsia"/>
          <w:sz w:val="32"/>
          <w:szCs w:val="32"/>
          <w:lang w:val="zh-CN"/>
        </w:rPr>
        <w:t>9</w:t>
      </w:r>
      <w:r>
        <w:rPr>
          <w:rFonts w:ascii="仿宋_GB2312" w:eastAsia="仿宋_GB2312" w:hAnsi="仿宋_GB2312" w:cs="仿宋_GB2312" w:hint="eastAsia"/>
          <w:sz w:val="32"/>
          <w:szCs w:val="32"/>
        </w:rPr>
        <w:t>8.75</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，占</w:t>
      </w:r>
      <w:r>
        <w:rPr>
          <w:rFonts w:ascii="仿宋_GB2312" w:eastAsia="仿宋_GB2312" w:hAnsi="仿宋_GB2312" w:cs="仿宋_GB2312" w:hint="eastAsia"/>
          <w:sz w:val="32"/>
          <w:szCs w:val="32"/>
          <w:lang w:val="zh-CN"/>
        </w:rPr>
        <w:t>10.</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；具体情况如下：</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．因公出国（境）费</w:t>
      </w:r>
      <w:r>
        <w:rPr>
          <w:rFonts w:ascii="仿宋_GB2312" w:eastAsia="仿宋_GB2312" w:hAnsi="仿宋_GB2312" w:cs="仿宋_GB2312" w:hint="eastAsia"/>
          <w:sz w:val="32"/>
          <w:szCs w:val="32"/>
        </w:rPr>
        <w:t>预算为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万元。全年因公出国（境）团组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个，累计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．公务用车购置及运行费</w:t>
      </w:r>
      <w:r>
        <w:rPr>
          <w:rFonts w:ascii="仿宋_GB2312" w:eastAsia="仿宋_GB2312" w:hAnsi="仿宋_GB2312" w:cs="仿宋_GB2312" w:hint="eastAsia"/>
          <w:sz w:val="32"/>
          <w:szCs w:val="32"/>
        </w:rPr>
        <w:t>预算为</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13.07</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76.88%</w:t>
      </w:r>
      <w:r>
        <w:rPr>
          <w:rFonts w:ascii="仿宋_GB2312" w:eastAsia="仿宋_GB2312" w:hAnsi="仿宋_GB2312" w:cs="仿宋_GB2312" w:hint="eastAsia"/>
          <w:sz w:val="32"/>
          <w:szCs w:val="32"/>
        </w:rPr>
        <w:t>。决算数与预算数存在差异的主要原因是从严控“三公”经费管理，统筹安排车辆，节假日统一封车，压缩车辆支出。其中：</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万元，购置车辆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13.07</w:t>
      </w:r>
      <w:r>
        <w:rPr>
          <w:rFonts w:ascii="仿宋_GB2312" w:eastAsia="仿宋_GB2312" w:hAnsi="仿宋_GB2312" w:cs="仿宋_GB2312" w:hint="eastAsia"/>
          <w:sz w:val="32"/>
          <w:szCs w:val="32"/>
        </w:rPr>
        <w:t>万元。主要用于</w:t>
      </w:r>
      <w:r>
        <w:rPr>
          <w:rFonts w:ascii="仿宋_GB2312" w:eastAsia="仿宋_GB2312" w:hAnsi="宋体" w:cs="Courier New" w:hint="eastAsia"/>
          <w:sz w:val="32"/>
          <w:szCs w:val="32"/>
          <w:lang w:val="zh-CN"/>
        </w:rPr>
        <w:t>车辆燃料费、维修费、过路桥费、车辆保险及车船使用税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年期末，部门开支财政拨款的公务用车保有量为</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辆。</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公务接待费</w:t>
      </w:r>
      <w:r>
        <w:rPr>
          <w:rFonts w:ascii="仿宋_GB2312" w:eastAsia="仿宋_GB2312" w:hAnsi="仿宋_GB2312" w:cs="仿宋_GB2312" w:hint="eastAsia"/>
          <w:sz w:val="32"/>
          <w:szCs w:val="32"/>
        </w:rPr>
        <w:t>预算为</w:t>
      </w:r>
      <w:r>
        <w:rPr>
          <w:rFonts w:ascii="仿宋_GB2312" w:eastAsia="仿宋_GB2312" w:hAnsi="仿宋_GB2312" w:cs="仿宋_GB2312" w:hint="eastAsia"/>
          <w:sz w:val="32"/>
          <w:szCs w:val="32"/>
        </w:rPr>
        <w:t>1.6</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1.59</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98.75%</w:t>
      </w:r>
      <w:r>
        <w:rPr>
          <w:rFonts w:ascii="仿宋_GB2312" w:eastAsia="仿宋_GB2312" w:hAnsi="仿宋_GB2312" w:cs="仿宋_GB2312" w:hint="eastAsia"/>
          <w:sz w:val="32"/>
          <w:szCs w:val="32"/>
        </w:rPr>
        <w:t>。决算数与预算数存在差异的主要原因是</w:t>
      </w:r>
      <w:r>
        <w:rPr>
          <w:rFonts w:ascii="仿宋_GB2312" w:eastAsia="仿宋_GB2312" w:hAnsi="仿宋_GB2312" w:cs="仿宋_GB2312" w:hint="eastAsia"/>
          <w:sz w:val="32"/>
          <w:szCs w:val="32"/>
        </w:rPr>
        <w:lastRenderedPageBreak/>
        <w:t>严格执行中央八项规定，从严控制“三公”经费管理，压缩“三公”经费支出。其中：</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年共接待国（境）外来访团组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个、来访外宾</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人次（不包括陪同人员）。</w:t>
      </w:r>
    </w:p>
    <w:p w:rsidR="00CE5647" w:rsidRDefault="004830D3">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1.59</w:t>
      </w:r>
      <w:r>
        <w:rPr>
          <w:rFonts w:ascii="仿宋_GB2312" w:eastAsia="仿宋_GB2312" w:hAnsi="仿宋_GB2312" w:cs="仿宋_GB2312" w:hint="eastAsia"/>
          <w:sz w:val="32"/>
          <w:szCs w:val="32"/>
        </w:rPr>
        <w:t>万元。主要用于外地市业务往来人员就餐。</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年共接待国内来访团组</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个、来</w:t>
      </w:r>
      <w:r>
        <w:rPr>
          <w:rFonts w:ascii="仿宋_GB2312" w:eastAsia="仿宋_GB2312" w:hAnsi="仿宋_GB2312" w:cs="仿宋_GB2312" w:hint="eastAsia"/>
          <w:sz w:val="32"/>
          <w:szCs w:val="32"/>
        </w:rPr>
        <w:t>宾</w:t>
      </w:r>
      <w:r>
        <w:rPr>
          <w:rFonts w:ascii="仿宋_GB2312" w:eastAsia="仿宋_GB2312" w:hAnsi="仿宋_GB2312" w:cs="仿宋_GB2312" w:hint="eastAsia"/>
          <w:sz w:val="32"/>
          <w:szCs w:val="32"/>
        </w:rPr>
        <w:t>225</w:t>
      </w:r>
      <w:r>
        <w:rPr>
          <w:rFonts w:ascii="仿宋_GB2312" w:eastAsia="仿宋_GB2312" w:hAnsi="仿宋_GB2312" w:cs="仿宋_GB2312" w:hint="eastAsia"/>
          <w:sz w:val="32"/>
          <w:szCs w:val="32"/>
        </w:rPr>
        <w:t>人次（不包括陪同人员）。</w:t>
      </w:r>
    </w:p>
    <w:p w:rsidR="00CE5647" w:rsidRDefault="004830D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八、预算绩效情况说明</w:t>
      </w:r>
    </w:p>
    <w:p w:rsidR="00CE5647" w:rsidRDefault="004830D3">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CE5647" w:rsidRDefault="004830D3">
      <w:pPr>
        <w:pStyle w:val="af2"/>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根据市财政局要求，许昌市质量技术监督检验测试中心开展了一个基本、两个项目绩效全覆盖管理工作。绩效评价</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个项目：（</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）质量检测、抽查基本运行费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国有资源有偿使用收入）；（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）质量检测设备购置经费。</w:t>
      </w:r>
      <w:r>
        <w:rPr>
          <w:rFonts w:ascii="仿宋_GB2312" w:eastAsia="仿宋_GB2312" w:hAnsi="仿宋_GB2312" w:cs="仿宋_GB2312" w:hint="eastAsia"/>
          <w:color w:val="000000"/>
          <w:sz w:val="32"/>
          <w:szCs w:val="32"/>
        </w:rPr>
        <w:t>完成的年度总目标：</w:t>
      </w:r>
      <w:r>
        <w:rPr>
          <w:rFonts w:ascii="仿宋_GB2312" w:eastAsia="仿宋_GB2312" w:hAnsi="仿宋_GB2312" w:cs="仿宋_GB2312" w:hint="eastAsia"/>
          <w:sz w:val="32"/>
          <w:szCs w:val="32"/>
        </w:rPr>
        <w:t>由财务室、总工办组织实施，领导重视，制度完善，设备资金到帐后，我单位严格按照预算批复和财政下达的资金，及时足额支付（设备高于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万元采用政府公开招标形式进行采购，低于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万元设备由单位采用询价方式进行采购）。</w:t>
      </w:r>
    </w:p>
    <w:p w:rsidR="00CE5647" w:rsidRDefault="004830D3">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w:t>
      </w:r>
      <w:r>
        <w:rPr>
          <w:rFonts w:ascii="楷体_GB2312" w:eastAsia="楷体_GB2312" w:hAnsi="楷体_GB2312" w:cs="楷体_GB2312" w:hint="eastAsia"/>
          <w:b/>
          <w:bCs/>
          <w:sz w:val="32"/>
          <w:szCs w:val="32"/>
        </w:rPr>
        <w:t>）部门整体绩效评价结果。</w:t>
      </w:r>
    </w:p>
    <w:p w:rsidR="00CE5647" w:rsidRDefault="004830D3">
      <w:pPr>
        <w:ind w:firstLineChars="200" w:firstLine="640"/>
        <w:outlineLvl w:val="0"/>
        <w:rPr>
          <w:rFonts w:ascii="仿宋_GB2312" w:eastAsia="仿宋_GB2312" w:hAnsi="仿宋_GB2312" w:cs="仿宋_GB2312"/>
          <w:sz w:val="32"/>
          <w:szCs w:val="32"/>
        </w:rPr>
      </w:pPr>
      <w:bookmarkStart w:id="5" w:name="_Hlk81810455"/>
      <w:r>
        <w:rPr>
          <w:rFonts w:ascii="仿宋_GB2312" w:eastAsia="仿宋_GB2312" w:hAnsi="仿宋_GB2312" w:cs="仿宋_GB2312" w:hint="eastAsia"/>
          <w:color w:val="000000"/>
          <w:sz w:val="32"/>
          <w:szCs w:val="32"/>
        </w:rPr>
        <w:t>2020</w:t>
      </w:r>
      <w:r>
        <w:rPr>
          <w:rFonts w:ascii="仿宋_GB2312" w:eastAsia="仿宋_GB2312" w:hAnsi="仿宋_GB2312" w:cs="仿宋_GB2312" w:hint="eastAsia"/>
          <w:color w:val="000000"/>
          <w:sz w:val="32"/>
          <w:szCs w:val="32"/>
        </w:rPr>
        <w:t>年我单位整体绩效评价效果良好。整体较好的完成了</w:t>
      </w:r>
      <w:r>
        <w:rPr>
          <w:rFonts w:ascii="仿宋_GB2312" w:eastAsia="仿宋_GB2312" w:hAnsi="仿宋" w:hint="eastAsia"/>
          <w:sz w:val="32"/>
          <w:szCs w:val="32"/>
        </w:rPr>
        <w:t>计量器具强制检定工作，承担起本地区量值传递，强制检定，仲裁检定任务，为质量技术监督行政执法工作提供了有力的技术支持，为生产企业生产管理提高技术支持，提高企业生产产品过程中所用计量器具准确性提供服务。承担全市</w:t>
      </w:r>
      <w:r>
        <w:rPr>
          <w:rFonts w:ascii="仿宋_GB2312" w:eastAsia="仿宋_GB2312" w:hAnsi="仿宋" w:hint="eastAsia"/>
          <w:sz w:val="32"/>
          <w:szCs w:val="32"/>
        </w:rPr>
        <w:lastRenderedPageBreak/>
        <w:t>委托检验任务，为经营和消费者提供高效、优质、安全、准确、科学的检验服务。整体绩效</w:t>
      </w:r>
      <w:r>
        <w:rPr>
          <w:rFonts w:ascii="仿宋_GB2312" w:eastAsia="仿宋_GB2312" w:hAnsi="仿宋_GB2312" w:cs="仿宋_GB2312" w:hint="eastAsia"/>
          <w:color w:val="000000"/>
          <w:sz w:val="32"/>
          <w:szCs w:val="32"/>
        </w:rPr>
        <w:t>的金额为</w:t>
      </w:r>
      <w:r>
        <w:rPr>
          <w:rFonts w:ascii="仿宋_GB2312" w:eastAsia="仿宋_GB2312" w:hAnsi="仿宋_GB2312" w:cs="仿宋_GB2312" w:hint="eastAsia"/>
          <w:color w:val="000000"/>
          <w:sz w:val="32"/>
          <w:szCs w:val="32"/>
        </w:rPr>
        <w:t>2193.24</w:t>
      </w:r>
      <w:r>
        <w:rPr>
          <w:rFonts w:ascii="仿宋_GB2312" w:eastAsia="仿宋_GB2312" w:hAnsi="仿宋_GB2312" w:cs="仿宋_GB2312" w:hint="eastAsia"/>
          <w:color w:val="000000"/>
          <w:sz w:val="32"/>
          <w:szCs w:val="32"/>
        </w:rPr>
        <w:t>万元，其中：基本支出</w:t>
      </w:r>
      <w:r>
        <w:rPr>
          <w:rFonts w:ascii="仿宋_GB2312" w:eastAsia="仿宋_GB2312" w:hAnsi="仿宋_GB2312" w:cs="仿宋_GB2312" w:hint="eastAsia"/>
          <w:color w:val="000000"/>
          <w:sz w:val="32"/>
          <w:szCs w:val="32"/>
        </w:rPr>
        <w:t xml:space="preserve"> 1093.24</w:t>
      </w:r>
      <w:r>
        <w:rPr>
          <w:rFonts w:ascii="仿宋_GB2312" w:eastAsia="仿宋_GB2312" w:hAnsi="仿宋_GB2312" w:cs="仿宋_GB2312" w:hint="eastAsia"/>
          <w:color w:val="000000"/>
          <w:sz w:val="32"/>
          <w:szCs w:val="32"/>
        </w:rPr>
        <w:t>万元，项目支出</w:t>
      </w:r>
      <w:r>
        <w:rPr>
          <w:rFonts w:ascii="仿宋_GB2312" w:eastAsia="仿宋_GB2312" w:hAnsi="仿宋_GB2312" w:cs="仿宋_GB2312" w:hint="eastAsia"/>
          <w:color w:val="000000"/>
          <w:sz w:val="32"/>
          <w:szCs w:val="32"/>
        </w:rPr>
        <w:t>1100</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sz w:val="32"/>
          <w:szCs w:val="32"/>
        </w:rPr>
        <w:t>。</w:t>
      </w:r>
    </w:p>
    <w:p w:rsidR="00CE5647" w:rsidRDefault="004830D3">
      <w:pPr>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质量检测、抽查基本运行费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国有资源有偿使用收入）完成：年初预算：共完成国有资源有偿使用收入</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）完成办公楼出租收取房屋租金</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）完成委托检验检测收入</w:t>
      </w:r>
      <w:r>
        <w:rPr>
          <w:rFonts w:ascii="仿宋_GB2312" w:eastAsia="仿宋_GB2312" w:hAnsi="仿宋_GB2312" w:cs="仿宋_GB2312" w:hint="eastAsia"/>
          <w:sz w:val="32"/>
          <w:szCs w:val="32"/>
        </w:rPr>
        <w:t>390</w:t>
      </w:r>
      <w:r>
        <w:rPr>
          <w:rFonts w:ascii="仿宋_GB2312" w:eastAsia="仿宋_GB2312" w:hAnsi="仿宋_GB2312" w:cs="仿宋_GB2312" w:hint="eastAsia"/>
          <w:sz w:val="32"/>
          <w:szCs w:val="32"/>
        </w:rPr>
        <w:t>万元。实际完成：国有资源有偿使用收入</w:t>
      </w:r>
      <w:r>
        <w:rPr>
          <w:rFonts w:ascii="仿宋_GB2312" w:eastAsia="仿宋_GB2312" w:hAnsi="仿宋_GB2312" w:cs="仿宋_GB2312" w:hint="eastAsia"/>
          <w:sz w:val="32"/>
          <w:szCs w:val="32"/>
        </w:rPr>
        <w:t>314.2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）完成检验检测收入</w:t>
      </w:r>
      <w:r>
        <w:rPr>
          <w:rFonts w:ascii="仿宋_GB2312" w:eastAsia="仿宋_GB2312" w:hAnsi="仿宋_GB2312" w:cs="仿宋_GB2312" w:hint="eastAsia"/>
          <w:sz w:val="32"/>
          <w:szCs w:val="32"/>
        </w:rPr>
        <w:t>236.17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完成办公楼出租收取房屋租金</w:t>
      </w:r>
      <w:r>
        <w:rPr>
          <w:rFonts w:ascii="仿宋_GB2312" w:eastAsia="仿宋_GB2312" w:hAnsi="仿宋_GB2312" w:cs="仿宋_GB2312" w:hint="eastAsia"/>
          <w:sz w:val="32"/>
          <w:szCs w:val="32"/>
        </w:rPr>
        <w:t>78.03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未完成原因是：因疫情原因减免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个月房租（两个院共减免</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个月），委托检测减少。</w:t>
      </w:r>
    </w:p>
    <w:p w:rsidR="00CE5647" w:rsidRDefault="004830D3">
      <w:pPr>
        <w:pStyle w:val="af2"/>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、质量检测设备购置项目经费</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万元。年初预算：完成</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台设备采购，支付设备款</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万元。实际：完成</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台设备采购</w:t>
      </w:r>
      <w:r>
        <w:rPr>
          <w:rFonts w:ascii="仿宋_GB2312" w:eastAsia="仿宋_GB2312" w:hAnsi="仿宋_GB2312" w:cs="仿宋_GB2312" w:hint="eastAsia"/>
          <w:sz w:val="32"/>
          <w:szCs w:val="32"/>
        </w:rPr>
        <w:t>，实际支付</w:t>
      </w:r>
      <w:r>
        <w:rPr>
          <w:rFonts w:ascii="仿宋_GB2312" w:eastAsia="仿宋_GB2312" w:hAnsi="仿宋_GB2312" w:cs="仿宋_GB2312" w:hint="eastAsia"/>
          <w:sz w:val="32"/>
          <w:szCs w:val="32"/>
        </w:rPr>
        <w:t>502.81</w:t>
      </w:r>
      <w:r>
        <w:rPr>
          <w:rFonts w:ascii="仿宋_GB2312" w:eastAsia="仿宋_GB2312" w:hAnsi="仿宋_GB2312" w:cs="仿宋_GB2312" w:hint="eastAsia"/>
          <w:sz w:val="32"/>
          <w:szCs w:val="32"/>
        </w:rPr>
        <w:t>万元，未支付</w:t>
      </w:r>
      <w:r>
        <w:rPr>
          <w:rFonts w:ascii="仿宋_GB2312" w:eastAsia="仿宋_GB2312" w:hAnsi="仿宋_GB2312" w:cs="仿宋_GB2312" w:hint="eastAsia"/>
          <w:sz w:val="32"/>
          <w:szCs w:val="32"/>
        </w:rPr>
        <w:t>97.19</w:t>
      </w:r>
      <w:r>
        <w:rPr>
          <w:rFonts w:ascii="仿宋_GB2312" w:eastAsia="仿宋_GB2312" w:hAnsi="仿宋_GB2312" w:cs="仿宋_GB2312" w:hint="eastAsia"/>
          <w:sz w:val="32"/>
          <w:szCs w:val="32"/>
        </w:rPr>
        <w:t>万元，偏差原因是：（</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）由于疫情采购北京的设备安装人员不能出境，导致项目未能按期验收，资金支出滞后。（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）恒温恒湿及</w:t>
      </w:r>
      <w:r>
        <w:rPr>
          <w:rFonts w:ascii="仿宋_GB2312" w:eastAsia="仿宋_GB2312" w:hAnsi="仿宋_GB2312" w:cs="仿宋_GB2312" w:hint="eastAsia"/>
          <w:sz w:val="32"/>
          <w:szCs w:val="32"/>
        </w:rPr>
        <w:t>PCR</w:t>
      </w:r>
      <w:r>
        <w:rPr>
          <w:rFonts w:ascii="仿宋_GB2312" w:eastAsia="仿宋_GB2312" w:hAnsi="仿宋_GB2312" w:cs="仿宋_GB2312" w:hint="eastAsia"/>
          <w:sz w:val="32"/>
          <w:szCs w:val="32"/>
        </w:rPr>
        <w:t>实验室改造，疫情期间北京总部设备安装调试人员出境限制，实验室改造滞后，导致安装到恒温室的设备未能安装预计时间安装调试，设备资金支付滞后到</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年执行。</w:t>
      </w:r>
    </w:p>
    <w:bookmarkEnd w:id="5"/>
    <w:p w:rsidR="00CE5647" w:rsidRDefault="00CE5647">
      <w:pPr>
        <w:pStyle w:val="a0"/>
      </w:pPr>
    </w:p>
    <w:p w:rsidR="00CE5647" w:rsidRDefault="004830D3">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w:t>
      </w:r>
      <w:r>
        <w:rPr>
          <w:rFonts w:ascii="楷体_GB2312" w:eastAsia="楷体_GB2312" w:hAnsi="楷体_GB2312" w:cs="楷体_GB2312" w:hint="eastAsia"/>
          <w:b/>
          <w:bCs/>
          <w:sz w:val="32"/>
          <w:szCs w:val="32"/>
        </w:rPr>
        <w:t>重点</w:t>
      </w:r>
      <w:r>
        <w:rPr>
          <w:rFonts w:ascii="楷体_GB2312" w:eastAsia="楷体_GB2312" w:hAnsi="楷体_GB2312" w:cs="楷体_GB2312" w:hint="eastAsia"/>
          <w:b/>
          <w:bCs/>
          <w:sz w:val="32"/>
          <w:szCs w:val="32"/>
        </w:rPr>
        <w:t>项目绩效自评结果。</w:t>
      </w:r>
    </w:p>
    <w:p w:rsidR="00CE5647" w:rsidRDefault="004830D3">
      <w:pPr>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一、质量检测、抽查基本运行费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国有资源有偿使用收入）完成：</w:t>
      </w:r>
    </w:p>
    <w:p w:rsidR="00CE5647" w:rsidRDefault="004830D3">
      <w:pPr>
        <w:ind w:firstLineChars="100" w:firstLine="320"/>
        <w:outlineLvl w:val="0"/>
        <w:rPr>
          <w:rFonts w:ascii="仿宋_GB2312" w:eastAsia="仿宋_GB2312" w:hAnsi="仿宋_GB2312" w:cs="仿宋_GB2312"/>
          <w:sz w:val="32"/>
          <w:szCs w:val="32"/>
        </w:rPr>
      </w:pPr>
      <w:r>
        <w:rPr>
          <w:rFonts w:ascii="仿宋_GB2312" w:hint="eastAsia"/>
          <w:sz w:val="32"/>
          <w:szCs w:val="32"/>
        </w:rPr>
        <w:lastRenderedPageBreak/>
        <w:t>1.</w:t>
      </w:r>
      <w:r>
        <w:rPr>
          <w:rFonts w:ascii="仿宋_GB2312" w:eastAsia="仿宋_GB2312" w:hAnsi="仿宋_GB2312" w:cs="仿宋_GB2312" w:hint="eastAsia"/>
          <w:sz w:val="32"/>
          <w:szCs w:val="32"/>
        </w:rPr>
        <w:t>年度产出目标完成情况分析（本年计划数与实际完成的对比）</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）资金投入和管理目标：我单位严格执行政府采购规定，严格按规定时间内完成，加强财务管理，除遵守国家及有关政策规定外，还制定了我单位财务管理制度，完成计量检测及产品检验计量检测</w:t>
      </w:r>
      <w:r>
        <w:rPr>
          <w:rFonts w:ascii="仿宋_GB2312" w:eastAsia="仿宋_GB2312" w:hAnsi="仿宋_GB2312" w:cs="仿宋_GB2312" w:hint="eastAsia"/>
          <w:sz w:val="32"/>
          <w:szCs w:val="32"/>
        </w:rPr>
        <w:t>12871</w:t>
      </w:r>
      <w:r>
        <w:rPr>
          <w:rFonts w:ascii="仿宋_GB2312" w:eastAsia="仿宋_GB2312" w:hAnsi="仿宋_GB2312" w:cs="仿宋_GB2312" w:hint="eastAsia"/>
          <w:sz w:val="32"/>
          <w:szCs w:val="32"/>
        </w:rPr>
        <w:t>、产品检验</w:t>
      </w:r>
      <w:r>
        <w:rPr>
          <w:rFonts w:ascii="仿宋_GB2312" w:eastAsia="仿宋_GB2312" w:hAnsi="仿宋_GB2312" w:cs="仿宋_GB2312" w:hint="eastAsia"/>
          <w:sz w:val="32"/>
          <w:szCs w:val="32"/>
        </w:rPr>
        <w:t>3441   2</w:t>
      </w:r>
      <w:r>
        <w:rPr>
          <w:rFonts w:ascii="仿宋_GB2312" w:eastAsia="仿宋_GB2312" w:hAnsi="仿宋_GB2312" w:cs="仿宋_GB2312" w:hint="eastAsia"/>
          <w:sz w:val="32"/>
          <w:szCs w:val="32"/>
        </w:rPr>
        <w:t>、完成检测委托收入</w:t>
      </w:r>
      <w:r>
        <w:rPr>
          <w:rFonts w:ascii="仿宋_GB2312" w:eastAsia="仿宋_GB2312" w:hAnsi="仿宋_GB2312" w:cs="仿宋_GB2312" w:hint="eastAsia"/>
          <w:sz w:val="32"/>
          <w:szCs w:val="32"/>
        </w:rPr>
        <w:t>236.17</w:t>
      </w:r>
      <w:r>
        <w:rPr>
          <w:rFonts w:ascii="仿宋_GB2312" w:eastAsia="仿宋_GB2312" w:hAnsi="仿宋_GB2312" w:cs="仿宋_GB2312" w:hint="eastAsia"/>
          <w:sz w:val="32"/>
          <w:szCs w:val="32"/>
        </w:rPr>
        <w:t>万元，完成办公楼出租收取房屋租金</w:t>
      </w:r>
      <w:r>
        <w:rPr>
          <w:rFonts w:ascii="仿宋_GB2312" w:eastAsia="仿宋_GB2312" w:hAnsi="仿宋_GB2312" w:cs="仿宋_GB2312" w:hint="eastAsia"/>
          <w:sz w:val="32"/>
          <w:szCs w:val="32"/>
        </w:rPr>
        <w:t>78.03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因疫情原因减免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个月房租（两个院共减免</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 xml:space="preserve">     </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）产出数量目标：完成检测委托收入</w:t>
      </w:r>
      <w:r>
        <w:rPr>
          <w:rFonts w:ascii="仿宋_GB2312" w:eastAsia="仿宋_GB2312" w:hAnsi="仿宋_GB2312" w:cs="仿宋_GB2312" w:hint="eastAsia"/>
          <w:sz w:val="32"/>
          <w:szCs w:val="32"/>
        </w:rPr>
        <w:t>236.17</w:t>
      </w:r>
      <w:r>
        <w:rPr>
          <w:rFonts w:ascii="仿宋_GB2312" w:eastAsia="仿宋_GB2312" w:hAnsi="仿宋_GB2312" w:cs="仿宋_GB2312" w:hint="eastAsia"/>
          <w:sz w:val="32"/>
          <w:szCs w:val="32"/>
        </w:rPr>
        <w:t>万元，完成办公楼出租收取房屋租金</w:t>
      </w:r>
      <w:r>
        <w:rPr>
          <w:rFonts w:ascii="仿宋_GB2312" w:eastAsia="仿宋_GB2312" w:hAnsi="仿宋_GB2312" w:cs="仿宋_GB2312" w:hint="eastAsia"/>
          <w:sz w:val="32"/>
          <w:szCs w:val="32"/>
        </w:rPr>
        <w:t>78.03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因疫情原因减免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个月房租（两个院共减免</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个月），计量检测</w:t>
      </w:r>
      <w:r>
        <w:rPr>
          <w:rFonts w:ascii="仿宋_GB2312" w:eastAsia="仿宋_GB2312" w:hAnsi="仿宋_GB2312" w:cs="仿宋_GB2312" w:hint="eastAsia"/>
          <w:sz w:val="32"/>
          <w:szCs w:val="32"/>
        </w:rPr>
        <w:t>12871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产品检验</w:t>
      </w:r>
      <w:r>
        <w:rPr>
          <w:rFonts w:ascii="仿宋_GB2312" w:eastAsia="仿宋_GB2312" w:hAnsi="仿宋_GB2312" w:cs="仿宋_GB2312" w:hint="eastAsia"/>
          <w:sz w:val="32"/>
          <w:szCs w:val="32"/>
        </w:rPr>
        <w:t>3441</w:t>
      </w:r>
      <w:r>
        <w:rPr>
          <w:rFonts w:ascii="仿宋_GB2312" w:eastAsia="仿宋_GB2312" w:hAnsi="仿宋_GB2312" w:cs="仿宋_GB2312" w:hint="eastAsia"/>
          <w:sz w:val="32"/>
          <w:szCs w:val="32"/>
        </w:rPr>
        <w:t>。</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）质量指标目标：及时完成委托人所送的样品传递及检测，检测台件完成率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，报告差错率小于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）时效指标目标：在规定时间内完成检测任务。实际已按期完成。</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）成本指标目标：委托检验成本</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、检验成本、（检验用药品试剂、公聘人员工资、设备维修及维护、设备购置、水费、电费、物业管理费等）。</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效益指标完成情况分析</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）经济效益：委托检验检测收入</w:t>
      </w:r>
      <w:r>
        <w:rPr>
          <w:rFonts w:ascii="仿宋_GB2312" w:eastAsia="仿宋_GB2312" w:hAnsi="仿宋_GB2312" w:cs="仿宋_GB2312" w:hint="eastAsia"/>
          <w:sz w:val="32"/>
          <w:szCs w:val="32"/>
        </w:rPr>
        <w:t>236.17</w:t>
      </w:r>
      <w:r>
        <w:rPr>
          <w:rFonts w:ascii="仿宋_GB2312" w:eastAsia="仿宋_GB2312" w:hAnsi="仿宋_GB2312" w:cs="仿宋_GB2312" w:hint="eastAsia"/>
          <w:sz w:val="32"/>
          <w:szCs w:val="32"/>
        </w:rPr>
        <w:t>、办公楼出租</w:t>
      </w:r>
      <w:r>
        <w:rPr>
          <w:rFonts w:ascii="仿宋_GB2312" w:eastAsia="仿宋_GB2312" w:hAnsi="仿宋_GB2312" w:cs="仿宋_GB2312" w:hint="eastAsia"/>
          <w:sz w:val="32"/>
          <w:szCs w:val="32"/>
        </w:rPr>
        <w:lastRenderedPageBreak/>
        <w:t>收取房屋租金</w:t>
      </w:r>
      <w:r>
        <w:rPr>
          <w:rFonts w:ascii="仿宋_GB2312" w:eastAsia="仿宋_GB2312" w:hAnsi="仿宋_GB2312" w:cs="仿宋_GB2312" w:hint="eastAsia"/>
          <w:sz w:val="32"/>
          <w:szCs w:val="32"/>
        </w:rPr>
        <w:t>78.03</w:t>
      </w:r>
      <w:r>
        <w:rPr>
          <w:rFonts w:ascii="仿宋_GB2312" w:eastAsia="仿宋_GB2312" w:hAnsi="仿宋_GB2312" w:cs="仿宋_GB2312" w:hint="eastAsia"/>
          <w:sz w:val="32"/>
          <w:szCs w:val="32"/>
        </w:rPr>
        <w:t>万元设备。</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）社会效益指标：保证我市工业企业质量管理需要，定期接受企业委托检验，提高企业产品质量，提高品牌竞争力。</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）生态效益指标：可为生产企业生产管理提高技术支持，为经营和消费者提供高效优质、安全、准确、科学的检验服务。</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）可持续影响指标：持续提升检测能力和品牌建设，打造一流专业检验检测平台，为许昌经济建设持续提供技术支持。</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满意度指标完成情况分析：全年无客户投诉事件发生，报告无差错。企业（委托人）对我单位服务满意度得到提高，对我单位服务满意度得到提升。</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绩效目标指标完成及分布情况，（</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）项目资金类指</w:t>
      </w:r>
      <w:r>
        <w:rPr>
          <w:rFonts w:ascii="仿宋_GB2312" w:eastAsia="仿宋_GB2312" w:hAnsi="仿宋_GB2312" w:cs="仿宋_GB2312" w:hint="eastAsia"/>
          <w:sz w:val="32"/>
          <w:szCs w:val="32"/>
        </w:rPr>
        <w:t>标执行率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，满分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分，自评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）产出指标，满分</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分，自评</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）效益指标，满分</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分，自评</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）满意度指标，满分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，自评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分。自评总分</w:t>
      </w:r>
      <w:r>
        <w:rPr>
          <w:rFonts w:ascii="仿宋_GB2312" w:eastAsia="仿宋_GB2312" w:hAnsi="仿宋_GB2312" w:cs="仿宋_GB2312" w:hint="eastAsia"/>
          <w:sz w:val="32"/>
          <w:szCs w:val="32"/>
        </w:rPr>
        <w:t>89</w:t>
      </w:r>
      <w:r>
        <w:rPr>
          <w:rFonts w:ascii="仿宋_GB2312" w:eastAsia="仿宋_GB2312" w:hAnsi="仿宋_GB2312" w:cs="仿宋_GB2312" w:hint="eastAsia"/>
          <w:sz w:val="32"/>
          <w:szCs w:val="32"/>
        </w:rPr>
        <w:t>分。</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偏差较大项目说明</w:t>
      </w:r>
      <w:r>
        <w:rPr>
          <w:rFonts w:ascii="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）质量检测、抽查基本运行费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国有资源有偿使用收入）经费</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万元，已支付</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万元，资金执行率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，未执行情况是（</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万元拨款到位</w:t>
      </w:r>
      <w:r>
        <w:rPr>
          <w:rFonts w:ascii="仿宋_GB2312" w:eastAsia="仿宋_GB2312" w:hAnsi="仿宋_GB2312" w:cs="仿宋_GB2312" w:hint="eastAsia"/>
          <w:sz w:val="32"/>
          <w:szCs w:val="32"/>
        </w:rPr>
        <w:t>2020.12.28</w:t>
      </w:r>
      <w:r>
        <w:rPr>
          <w:rFonts w:ascii="仿宋_GB2312" w:eastAsia="仿宋_GB2312" w:hAnsi="仿宋_GB2312" w:cs="仿宋_GB2312" w:hint="eastAsia"/>
          <w:sz w:val="32"/>
          <w:szCs w:val="32"/>
        </w:rPr>
        <w:t>，银行已关闭支付系统，无法支付，恒温恒湿及</w:t>
      </w:r>
      <w:r>
        <w:rPr>
          <w:rFonts w:ascii="仿宋_GB2312" w:eastAsia="仿宋_GB2312" w:hAnsi="仿宋_GB2312" w:cs="仿宋_GB2312" w:hint="eastAsia"/>
          <w:sz w:val="32"/>
          <w:szCs w:val="32"/>
        </w:rPr>
        <w:t>PCR</w:t>
      </w:r>
      <w:r>
        <w:rPr>
          <w:rFonts w:ascii="仿宋_GB2312" w:eastAsia="仿宋_GB2312" w:hAnsi="仿宋_GB2312" w:cs="仿宋_GB2312" w:hint="eastAsia"/>
          <w:sz w:val="32"/>
          <w:szCs w:val="32"/>
        </w:rPr>
        <w:t>实验室改造，支付滞后到</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年执行，目前已经完成。</w:t>
      </w:r>
    </w:p>
    <w:p w:rsidR="00CE5647" w:rsidRDefault="004830D3">
      <w:pPr>
        <w:pStyle w:val="af2"/>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二、质量检测设备购置项目经费</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）资金投入和</w:t>
      </w:r>
      <w:r>
        <w:rPr>
          <w:rFonts w:ascii="仿宋_GB2312" w:eastAsia="仿宋_GB2312" w:hAnsi="仿宋_GB2312" w:cs="仿宋_GB2312" w:hint="eastAsia"/>
          <w:sz w:val="32"/>
          <w:szCs w:val="32"/>
        </w:rPr>
        <w:t>管理目标：我单位严格执行政府采购规定，严格按设备高于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万元采用政府公开招标形式进行采购，低于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万元设备由单位采用询价方式进行采购，保障专项资金得到合理利用。</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年度共投入设备购置经费</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万元，支出</w:t>
      </w:r>
      <w:r>
        <w:rPr>
          <w:rFonts w:ascii="仿宋_GB2312" w:eastAsia="仿宋_GB2312" w:hAnsi="仿宋_GB2312" w:cs="仿宋_GB2312" w:hint="eastAsia"/>
          <w:sz w:val="32"/>
          <w:szCs w:val="32"/>
        </w:rPr>
        <w:t>502.81</w:t>
      </w:r>
      <w:r>
        <w:rPr>
          <w:rFonts w:ascii="仿宋_GB2312" w:eastAsia="仿宋_GB2312" w:hAnsi="仿宋_GB2312" w:cs="仿宋_GB2312" w:hint="eastAsia"/>
          <w:sz w:val="32"/>
          <w:szCs w:val="32"/>
        </w:rPr>
        <w:t>万元，未支付</w:t>
      </w:r>
      <w:r>
        <w:rPr>
          <w:rFonts w:ascii="仿宋_GB2312" w:eastAsia="仿宋_GB2312" w:hAnsi="仿宋_GB2312" w:cs="仿宋_GB2312" w:hint="eastAsia"/>
          <w:sz w:val="32"/>
          <w:szCs w:val="32"/>
        </w:rPr>
        <w:t>97.19</w:t>
      </w:r>
      <w:r>
        <w:rPr>
          <w:rFonts w:ascii="仿宋_GB2312" w:eastAsia="仿宋_GB2312" w:hAnsi="仿宋_GB2312" w:cs="仿宋_GB2312" w:hint="eastAsia"/>
          <w:sz w:val="32"/>
          <w:szCs w:val="32"/>
        </w:rPr>
        <w:t>万元，主要原因是：由于疫情采购北京的设备安装人员不能出境，导致项目未能按期验收，资质支出滞后。恒温恒湿及</w:t>
      </w:r>
      <w:r>
        <w:rPr>
          <w:rFonts w:ascii="仿宋_GB2312" w:eastAsia="仿宋_GB2312" w:hAnsi="仿宋_GB2312" w:cs="仿宋_GB2312" w:hint="eastAsia"/>
          <w:sz w:val="32"/>
          <w:szCs w:val="32"/>
        </w:rPr>
        <w:t>PCR</w:t>
      </w:r>
      <w:r>
        <w:rPr>
          <w:rFonts w:ascii="仿宋_GB2312" w:eastAsia="仿宋_GB2312" w:hAnsi="仿宋_GB2312" w:cs="仿宋_GB2312" w:hint="eastAsia"/>
          <w:sz w:val="32"/>
          <w:szCs w:val="32"/>
        </w:rPr>
        <w:t>实验室改造，疫情期间北京总部设备安装调试人员出境限制，实验室改造滞后，导致安装到恒温室的设备未能安装预计时间安装调试，设备资金支付滞后到</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年执行，目前已经完</w:t>
      </w:r>
      <w:r>
        <w:rPr>
          <w:rFonts w:ascii="仿宋_GB2312" w:eastAsia="仿宋_GB2312" w:hAnsi="仿宋_GB2312" w:cs="仿宋_GB2312" w:hint="eastAsia"/>
          <w:sz w:val="32"/>
          <w:szCs w:val="32"/>
        </w:rPr>
        <w:t>成。</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）产出数量目标：</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年度购置设备</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台。实际完成设备采购</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台。</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）质量指标目标：验收合格，</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年底完成采购，并投入使用。实际完成</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年底完成采购验收任务，投入使用，有</w:t>
      </w:r>
      <w:r>
        <w:rPr>
          <w:rFonts w:ascii="仿宋_GB2312" w:eastAsia="仿宋_GB2312" w:hAnsi="仿宋_GB2312" w:cs="仿宋_GB2312" w:hint="eastAsia"/>
          <w:sz w:val="32"/>
          <w:szCs w:val="32"/>
        </w:rPr>
        <w:t>97.19</w:t>
      </w:r>
      <w:r>
        <w:rPr>
          <w:rFonts w:ascii="仿宋_GB2312" w:eastAsia="仿宋_GB2312" w:hAnsi="仿宋_GB2312" w:cs="仿宋_GB2312" w:hint="eastAsia"/>
          <w:sz w:val="32"/>
          <w:szCs w:val="32"/>
        </w:rPr>
        <w:t>万元设备未按时完成，原因：由于疫情采购北京的设备安装人员不能出境，导致项目未能按期验收，资质支出滞后。恒温恒湿及</w:t>
      </w:r>
      <w:r>
        <w:rPr>
          <w:rFonts w:ascii="仿宋_GB2312" w:eastAsia="仿宋_GB2312" w:hAnsi="仿宋_GB2312" w:cs="仿宋_GB2312" w:hint="eastAsia"/>
          <w:sz w:val="32"/>
          <w:szCs w:val="32"/>
        </w:rPr>
        <w:t>PCR</w:t>
      </w:r>
      <w:r>
        <w:rPr>
          <w:rFonts w:ascii="仿宋_GB2312" w:eastAsia="仿宋_GB2312" w:hAnsi="仿宋_GB2312" w:cs="仿宋_GB2312" w:hint="eastAsia"/>
          <w:sz w:val="32"/>
          <w:szCs w:val="32"/>
        </w:rPr>
        <w:t>实验室改造，疫情期间北京总部设备安装调试人员出境限制，实验室改造滞后，导致安装到恒温室的设备未能安装预计时间安装调试，设备资金支付滞后到</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年执行，目前已经完成。</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）时效指标目标：设</w:t>
      </w:r>
      <w:r>
        <w:rPr>
          <w:rFonts w:ascii="仿宋_GB2312" w:eastAsia="仿宋_GB2312" w:hAnsi="仿宋_GB2312" w:cs="仿宋_GB2312" w:hint="eastAsia"/>
          <w:sz w:val="32"/>
          <w:szCs w:val="32"/>
        </w:rPr>
        <w:t>备验收合格投入后，在规定时间</w:t>
      </w:r>
      <w:r>
        <w:rPr>
          <w:rFonts w:ascii="仿宋_GB2312" w:eastAsia="仿宋_GB2312" w:hAnsi="仿宋_GB2312" w:cs="仿宋_GB2312" w:hint="eastAsia"/>
          <w:sz w:val="32"/>
          <w:szCs w:val="32"/>
        </w:rPr>
        <w:lastRenderedPageBreak/>
        <w:t>内完成检测任务。实际已按期完成。</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）成本指标目标：完成</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万元设备采购。实际设备均低于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万元，在单位网站发布采购公告，进行招标采购，节约了成本。</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效益指标完成情况分析</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）经济效益：设备投入检验检测服务，服务企业检测需求，逐步提升检测批次和检测收入。完成计量检测设备</w:t>
      </w:r>
      <w:r>
        <w:rPr>
          <w:rFonts w:ascii="仿宋_GB2312" w:eastAsia="仿宋_GB2312" w:hAnsi="仿宋_GB2312" w:cs="仿宋_GB2312" w:hint="eastAsia"/>
          <w:sz w:val="32"/>
          <w:szCs w:val="32"/>
        </w:rPr>
        <w:t>12871</w:t>
      </w:r>
      <w:r>
        <w:rPr>
          <w:rFonts w:ascii="仿宋_GB2312" w:eastAsia="仿宋_GB2312" w:hAnsi="仿宋_GB2312" w:cs="仿宋_GB2312" w:hint="eastAsia"/>
          <w:sz w:val="32"/>
          <w:szCs w:val="32"/>
        </w:rPr>
        <w:t>台，产品检验</w:t>
      </w:r>
      <w:r>
        <w:rPr>
          <w:rFonts w:ascii="仿宋_GB2312" w:eastAsia="仿宋_GB2312" w:hAnsi="仿宋_GB2312" w:cs="仿宋_GB2312" w:hint="eastAsia"/>
          <w:sz w:val="32"/>
          <w:szCs w:val="32"/>
        </w:rPr>
        <w:t>3441</w:t>
      </w:r>
      <w:r>
        <w:rPr>
          <w:rFonts w:ascii="仿宋_GB2312" w:eastAsia="仿宋_GB2312" w:hAnsi="仿宋_GB2312" w:cs="仿宋_GB2312" w:hint="eastAsia"/>
          <w:sz w:val="32"/>
          <w:szCs w:val="32"/>
        </w:rPr>
        <w:t>批次。</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）社会效益指标：设备投入使用后通过检测，保证我市在用计量器具数据准确。保证我市企事业单位量值溯源正常进行，满足企事业单位工作需要。为企业提供产品质量提供技术保障。</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）生态效益指标：建立一流的管理制度和激励机制，服务当地企业需要，和企业合作，在不锈钢、金属再生资源利用方面积极融入产业生产链、销售链、服务链，在节能，环保方面发挥积极作用。</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）可持续影响指标：持续提升检测能力和品牌建设，打造一流专业检验检测平台，为许昌经济建设持续提供技术支持。</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满意度指标完成情况分析：全年无客户投诉事件发生，报告无差错。企业（委托人）对我单位服务满意度得到提高，对我单位服务满意度得到提升。</w:t>
      </w:r>
    </w:p>
    <w:p w:rsidR="00CE5647" w:rsidRDefault="004830D3">
      <w:pPr>
        <w:ind w:firstLineChars="100" w:firstLine="32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绩效目标指标完成及分布情况，（</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）项目资金类指标执行率</w:t>
      </w:r>
      <w:r>
        <w:rPr>
          <w:rFonts w:ascii="仿宋_GB2312" w:eastAsia="仿宋_GB2312" w:hAnsi="仿宋_GB2312" w:cs="仿宋_GB2312" w:hint="eastAsia"/>
          <w:sz w:val="32"/>
          <w:szCs w:val="32"/>
        </w:rPr>
        <w:t>83.80%</w:t>
      </w:r>
      <w:r>
        <w:rPr>
          <w:rFonts w:ascii="仿宋_GB2312" w:eastAsia="仿宋_GB2312" w:hAnsi="仿宋_GB2312" w:cs="仿宋_GB2312" w:hint="eastAsia"/>
          <w:sz w:val="32"/>
          <w:szCs w:val="32"/>
        </w:rPr>
        <w:t>，满分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分，自评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）产出指标，满分</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分，自评</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）效益指标，满分</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分，自评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）满意度指标，满分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，自评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分。自评总分</w:t>
      </w:r>
      <w:r>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rPr>
        <w:t>分。</w:t>
      </w:r>
    </w:p>
    <w:p w:rsidR="00CE5647" w:rsidRDefault="004830D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九、政府性基金预算财政拨款支出决算情况说明</w:t>
      </w:r>
    </w:p>
    <w:p w:rsidR="00CE5647" w:rsidRDefault="004830D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年度没有政府性基金收入，也没有使用政府性基金安排的支出。</w:t>
      </w:r>
    </w:p>
    <w:p w:rsidR="00CE5647" w:rsidRDefault="004830D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十、机关运行经费支出情况说明</w:t>
      </w:r>
    </w:p>
    <w:p w:rsidR="00CE5647" w:rsidRDefault="004830D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年度机关运行经费年初预算为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我单位不是行政机关，也不是参照公务员管理的事业单位，没有机关运行经费支出</w:t>
      </w:r>
      <w:r>
        <w:rPr>
          <w:rFonts w:ascii="仿宋_GB2312" w:eastAsia="仿宋_GB2312" w:hAnsi="仿宋_GB2312" w:cs="仿宋_GB2312" w:hint="eastAsia"/>
          <w:sz w:val="32"/>
          <w:szCs w:val="32"/>
        </w:rPr>
        <w:t>。</w:t>
      </w:r>
    </w:p>
    <w:p w:rsidR="00CE5647" w:rsidRDefault="004830D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十一、政府采购支出情况说明</w:t>
      </w:r>
    </w:p>
    <w:p w:rsidR="00CE5647" w:rsidRDefault="004830D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hint="eastAsia"/>
          <w:sz w:val="32"/>
          <w:szCs w:val="32"/>
        </w:rPr>
        <w:t>1132.37</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1132.37</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万元。授予中小企业合同金额</w:t>
      </w:r>
      <w:r>
        <w:rPr>
          <w:rFonts w:ascii="仿宋_GB2312" w:eastAsia="仿宋_GB2312" w:hAnsi="仿宋_GB2312" w:cs="仿宋_GB2312" w:hint="eastAsia"/>
          <w:sz w:val="32"/>
          <w:szCs w:val="32"/>
        </w:rPr>
        <w:t>1132.37</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，其中：授予小微企业合同金额</w:t>
      </w:r>
      <w:r>
        <w:rPr>
          <w:rFonts w:ascii="仿宋_GB2312" w:eastAsia="仿宋_GB2312" w:hAnsi="仿宋_GB2312" w:cs="仿宋_GB2312" w:hint="eastAsia"/>
          <w:sz w:val="32"/>
          <w:szCs w:val="32"/>
        </w:rPr>
        <w:t>1132.37</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CE5647" w:rsidRDefault="004830D3">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十二、国有资产占用情况说明</w:t>
      </w:r>
    </w:p>
    <w:p w:rsidR="00CE5647" w:rsidRDefault="004830D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年期末，我部门共有车辆</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辆，其中：省级领导干部用车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辆、主要领导干部用车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辆、执法执勤用车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辆、离退休干部用车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辆；单位价值</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lastRenderedPageBreak/>
        <w:t>元以上通用设备</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台（套），单位价值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台（套）。</w:t>
      </w:r>
    </w:p>
    <w:p w:rsidR="00CE5647" w:rsidRDefault="00CE5647">
      <w:pPr>
        <w:widowControl/>
        <w:jc w:val="left"/>
        <w:rPr>
          <w:rFonts w:ascii="楷体_GB2312" w:eastAsia="楷体_GB2312" w:hAnsi="楷体_GB2312" w:cs="楷体_GB2312"/>
          <w:sz w:val="32"/>
          <w:szCs w:val="32"/>
        </w:rPr>
        <w:sectPr w:rsidR="00CE5647">
          <w:pgSz w:w="11906" w:h="16838"/>
          <w:pgMar w:top="1440" w:right="1800" w:bottom="1440" w:left="1800" w:header="720" w:footer="720" w:gutter="0"/>
          <w:pgNumType w:fmt="numberInDash"/>
          <w:cols w:space="720"/>
          <w:docGrid w:type="lines" w:linePitch="312"/>
        </w:sect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CE5647">
      <w:pPr>
        <w:widowControl/>
        <w:jc w:val="left"/>
        <w:rPr>
          <w:rFonts w:ascii="黑体" w:eastAsia="黑体" w:hAnsi="宋体" w:cs="宋体"/>
          <w:kern w:val="0"/>
          <w:sz w:val="28"/>
          <w:szCs w:val="28"/>
        </w:rPr>
      </w:pPr>
    </w:p>
    <w:p w:rsidR="00CE5647" w:rsidRDefault="004830D3">
      <w:pPr>
        <w:jc w:val="center"/>
        <w:outlineLvl w:val="0"/>
        <w:rPr>
          <w:rFonts w:ascii="黑体" w:eastAsia="黑体" w:hAnsi="黑体" w:cs="黑体"/>
          <w:sz w:val="48"/>
          <w:szCs w:val="48"/>
        </w:rPr>
      </w:pPr>
      <w:r>
        <w:rPr>
          <w:rFonts w:ascii="黑体" w:eastAsia="黑体" w:hAnsi="黑体" w:cs="黑体" w:hint="eastAsia"/>
          <w:sz w:val="48"/>
          <w:szCs w:val="48"/>
        </w:rPr>
        <w:t>第四部分</w:t>
      </w:r>
      <w:r>
        <w:rPr>
          <w:rFonts w:ascii="黑体" w:eastAsia="黑体" w:hAnsi="黑体" w:cs="黑体" w:hint="eastAsia"/>
          <w:sz w:val="48"/>
          <w:szCs w:val="48"/>
        </w:rPr>
        <w:t xml:space="preserve">  </w:t>
      </w:r>
      <w:r>
        <w:rPr>
          <w:rFonts w:ascii="黑体" w:eastAsia="黑体" w:hAnsi="黑体" w:cs="黑体" w:hint="eastAsia"/>
          <w:sz w:val="48"/>
          <w:szCs w:val="48"/>
        </w:rPr>
        <w:t>名词解释</w:t>
      </w:r>
    </w:p>
    <w:p w:rsidR="00CE5647" w:rsidRDefault="00CE5647">
      <w:pPr>
        <w:jc w:val="center"/>
        <w:rPr>
          <w:rFonts w:ascii="黑体" w:eastAsia="黑体" w:hAnsi="黑体" w:cs="黑体"/>
          <w:sz w:val="48"/>
          <w:szCs w:val="48"/>
        </w:rPr>
      </w:pPr>
    </w:p>
    <w:p w:rsidR="00CE5647" w:rsidRDefault="00CE5647">
      <w:pPr>
        <w:jc w:val="center"/>
        <w:outlineLvl w:val="0"/>
        <w:rPr>
          <w:rFonts w:ascii="黑体" w:eastAsia="黑体" w:hAnsi="黑体" w:cs="黑体"/>
          <w:sz w:val="48"/>
          <w:szCs w:val="48"/>
        </w:rPr>
        <w:sectPr w:rsidR="00CE5647">
          <w:pgSz w:w="11906" w:h="16838"/>
          <w:pgMar w:top="1440" w:right="1531" w:bottom="1440" w:left="1587" w:header="850" w:footer="992" w:gutter="0"/>
          <w:pgNumType w:fmt="numberInDash"/>
          <w:cols w:space="720"/>
          <w:docGrid w:type="lines" w:linePitch="317"/>
        </w:sectPr>
      </w:pP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w:t>
      </w:r>
      <w:r>
        <w:rPr>
          <w:rFonts w:ascii="仿宋_GB2312" w:eastAsia="仿宋_GB2312" w:hAnsi="仿宋_GB2312" w:cs="仿宋_GB2312" w:hint="eastAsia"/>
          <w:sz w:val="32"/>
          <w:szCs w:val="32"/>
        </w:rPr>
        <w:t>单位从同级政府财政部门取得的财政预算资金。</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w:t>
      </w:r>
      <w:r>
        <w:rPr>
          <w:rFonts w:ascii="仿宋_GB2312" w:eastAsia="仿宋_GB2312" w:hAnsi="仿宋_GB2312" w:cs="仿宋_GB2312" w:hint="eastAsia"/>
          <w:sz w:val="32"/>
          <w:szCs w:val="32"/>
        </w:rPr>
        <w:t>后年度收支差额的基金）弥补当年收支缺口的资金。</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w:t>
      </w:r>
      <w:r>
        <w:rPr>
          <w:rFonts w:ascii="仿宋_GB2312" w:eastAsia="仿宋_GB2312" w:hAnsi="仿宋_GB2312" w:cs="仿宋_GB2312" w:hint="eastAsia"/>
          <w:sz w:val="32"/>
          <w:szCs w:val="32"/>
        </w:rPr>
        <w:t>及租用费、燃料费、维修费、过路过桥费、保险费、安全奖励费用等支出；公务接待费反映单位按规定开支的各类公务接待（含外宾接待）支出。</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w:t>
      </w:r>
      <w:r>
        <w:rPr>
          <w:rFonts w:ascii="仿宋_GB2312" w:eastAsia="仿宋_GB2312" w:hAnsi="仿宋_GB2312" w:cs="仿宋_GB2312" w:hint="eastAsia"/>
          <w:sz w:val="32"/>
          <w:szCs w:val="32"/>
        </w:rPr>
        <w:t>等。</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CE5647" w:rsidRDefault="004830D3">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十六、年末结余：本年度或以前年度预算安排，已执行完毕或因客观条件发生变化无法按原预算安排实施，不需要再使用或无法按原预算安排继续使用的资金</w:t>
      </w:r>
    </w:p>
    <w:p w:rsidR="00CE5647" w:rsidRDefault="00CE5647">
      <w:pPr>
        <w:widowControl/>
        <w:spacing w:line="590" w:lineRule="exact"/>
        <w:ind w:firstLineChars="200" w:firstLine="640"/>
        <w:jc w:val="left"/>
        <w:rPr>
          <w:rFonts w:ascii="仿宋_GB2312" w:eastAsia="仿宋_GB2312" w:hAnsi="仿宋_GB2312" w:cs="仿宋_GB2312"/>
          <w:sz w:val="32"/>
          <w:szCs w:val="32"/>
        </w:rPr>
      </w:pPr>
    </w:p>
    <w:sectPr w:rsidR="00CE5647">
      <w:pgSz w:w="11906" w:h="16838"/>
      <w:pgMar w:top="1928" w:right="1474" w:bottom="170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0D3" w:rsidRDefault="004830D3">
      <w:r>
        <w:separator/>
      </w:r>
    </w:p>
  </w:endnote>
  <w:endnote w:type="continuationSeparator" w:id="0">
    <w:p w:rsidR="004830D3" w:rsidRDefault="0048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charset w:val="00"/>
    <w:family w:val="auto"/>
    <w:pitch w:val="default"/>
    <w:sig w:usb0="00000287" w:usb1="080F0000" w:usb2="00000000" w:usb3="00000000" w:csb0="0004009F" w:csb1="DFD7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47" w:rsidRDefault="004830D3">
    <w:pPr>
      <w:pStyle w:val="a8"/>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5647" w:rsidRDefault="004830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14F87">
                            <w:rPr>
                              <w:noProof/>
                              <w:sz w:val="18"/>
                            </w:rPr>
                            <w:t>- 18 -</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5"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xVMJd7ABAABCAwAADgAAAAAAAAAAAAAAAAAuAgAAZHJzL2Uyb0RvYy54bWxQSwECLQAU&#10;AAYACAAAACEADErw7tYAAAAFAQAADwAAAAAAAAAAAAAAAAAKBAAAZHJzL2Rvd25yZXYueG1sUEsF&#10;BgAAAAAEAAQA8wAAAA0FAAAAAA==&#10;" filled="f" stroked="f">
              <v:textbox style="mso-fit-shape-to-text:t" inset="0,0,0,0">
                <w:txbxContent>
                  <w:p w:rsidR="00CE5647" w:rsidRDefault="004830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14F87">
                      <w:rPr>
                        <w:noProof/>
                        <w:sz w:val="18"/>
                      </w:rPr>
                      <w:t>- 18 -</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47" w:rsidRDefault="004830D3">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5647" w:rsidRDefault="004830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14F87">
                            <w:rPr>
                              <w:noProof/>
                              <w:sz w:val="18"/>
                            </w:rPr>
                            <w:t>- 19 -</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nLWQerMBAABJAwAADgAAAAAAAAAAAAAAAAAuAgAAZHJzL2Uyb0RvYy54bWxQSwEC&#10;LQAUAAYACAAAACEADErw7tYAAAAFAQAADwAAAAAAAAAAAAAAAAANBAAAZHJzL2Rvd25yZXYueG1s&#10;UEsFBgAAAAAEAAQA8wAAABAFAAAAAA==&#10;" filled="f" stroked="f">
              <v:textbox style="mso-fit-shape-to-text:t" inset="0,0,0,0">
                <w:txbxContent>
                  <w:p w:rsidR="00CE5647" w:rsidRDefault="004830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14F87">
                      <w:rPr>
                        <w:noProof/>
                        <w:sz w:val="18"/>
                      </w:rPr>
                      <w:t>- 19 -</w:t>
                    </w:r>
                    <w:r>
                      <w:rPr>
                        <w:rFonts w:hint="eastAsia"/>
                        <w:sz w:val="18"/>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5647" w:rsidRDefault="00CE5647"/>
                      </w:txbxContent>
                    </wps:txbx>
                    <wps:bodyPr wrap="none" lIns="0" tIns="0" rIns="0" bIns="0">
                      <a:spAutoFit/>
                    </wps:bodyPr>
                  </wps:wsp>
                </a:graphicData>
              </a:graphic>
            </wp:anchor>
          </w:drawing>
        </mc:Choice>
        <mc:Fallback>
          <w:pict>
            <v:shape id="文本框 1027"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fiFnr7MBAABJAwAADgAAAAAAAAAAAAAAAAAuAgAAZHJzL2Uyb0RvYy54bWxQSwEC&#10;LQAUAAYACAAAACEADErw7tYAAAAFAQAADwAAAAAAAAAAAAAAAAANBAAAZHJzL2Rvd25yZXYueG1s&#10;UEsFBgAAAAAEAAQA8wAAABAFAAAAAA==&#10;" filled="f" stroked="f">
              <v:textbox style="mso-fit-shape-to-text:t" inset="0,0,0,0">
                <w:txbxContent>
                  <w:p w:rsidR="00CE5647" w:rsidRDefault="00CE5647"/>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0D3" w:rsidRDefault="004830D3">
      <w:r>
        <w:separator/>
      </w:r>
    </w:p>
  </w:footnote>
  <w:footnote w:type="continuationSeparator" w:id="0">
    <w:p w:rsidR="004830D3" w:rsidRDefault="004830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6B2F6"/>
    <w:multiLevelType w:val="singleLevel"/>
    <w:tmpl w:val="8AD6B2F6"/>
    <w:lvl w:ilvl="0">
      <w:start w:val="1"/>
      <w:numFmt w:val="decimal"/>
      <w:suff w:val="nothing"/>
      <w:lvlText w:val="%1．"/>
      <w:lvlJc w:val="left"/>
    </w:lvl>
  </w:abstractNum>
  <w:abstractNum w:abstractNumId="1" w15:restartNumberingAfterBreak="0">
    <w:nsid w:val="00000006"/>
    <w:multiLevelType w:val="singleLevel"/>
    <w:tmpl w:val="00000006"/>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172A27"/>
    <w:rsid w:val="F5BED417"/>
    <w:rsid w:val="FC3FE83B"/>
    <w:rsid w:val="00035DA0"/>
    <w:rsid w:val="00052318"/>
    <w:rsid w:val="00066751"/>
    <w:rsid w:val="00080220"/>
    <w:rsid w:val="00095B21"/>
    <w:rsid w:val="00095F07"/>
    <w:rsid w:val="000B6EAF"/>
    <w:rsid w:val="000D64CD"/>
    <w:rsid w:val="00143180"/>
    <w:rsid w:val="0014760A"/>
    <w:rsid w:val="0016107F"/>
    <w:rsid w:val="00172A27"/>
    <w:rsid w:val="001A3CAD"/>
    <w:rsid w:val="001B6E18"/>
    <w:rsid w:val="001E1634"/>
    <w:rsid w:val="001F09DD"/>
    <w:rsid w:val="00213143"/>
    <w:rsid w:val="00222BAE"/>
    <w:rsid w:val="00313F69"/>
    <w:rsid w:val="00357E68"/>
    <w:rsid w:val="003B332B"/>
    <w:rsid w:val="003F0B46"/>
    <w:rsid w:val="00467E13"/>
    <w:rsid w:val="004830D3"/>
    <w:rsid w:val="005843D2"/>
    <w:rsid w:val="0068207F"/>
    <w:rsid w:val="006A437C"/>
    <w:rsid w:val="006C524B"/>
    <w:rsid w:val="00714F87"/>
    <w:rsid w:val="007640E2"/>
    <w:rsid w:val="00795001"/>
    <w:rsid w:val="007A2EFC"/>
    <w:rsid w:val="007F4B57"/>
    <w:rsid w:val="00846554"/>
    <w:rsid w:val="00872F75"/>
    <w:rsid w:val="008C3B5C"/>
    <w:rsid w:val="00986D8D"/>
    <w:rsid w:val="009E7E48"/>
    <w:rsid w:val="009F45A0"/>
    <w:rsid w:val="00A5762F"/>
    <w:rsid w:val="00A6716B"/>
    <w:rsid w:val="00A74341"/>
    <w:rsid w:val="00B17280"/>
    <w:rsid w:val="00B96EA3"/>
    <w:rsid w:val="00BE2668"/>
    <w:rsid w:val="00C43C87"/>
    <w:rsid w:val="00C479D9"/>
    <w:rsid w:val="00C81C46"/>
    <w:rsid w:val="00C93962"/>
    <w:rsid w:val="00C95297"/>
    <w:rsid w:val="00CE0B15"/>
    <w:rsid w:val="00CE5647"/>
    <w:rsid w:val="00CE6BE3"/>
    <w:rsid w:val="00D06C15"/>
    <w:rsid w:val="00D133F8"/>
    <w:rsid w:val="00D16BF8"/>
    <w:rsid w:val="00D72398"/>
    <w:rsid w:val="00DD6179"/>
    <w:rsid w:val="00DE7D32"/>
    <w:rsid w:val="00E9388B"/>
    <w:rsid w:val="00EC5708"/>
    <w:rsid w:val="00F449A5"/>
    <w:rsid w:val="00F77B6B"/>
    <w:rsid w:val="00FE268B"/>
    <w:rsid w:val="014D78DC"/>
    <w:rsid w:val="0187021D"/>
    <w:rsid w:val="0410160C"/>
    <w:rsid w:val="0576122B"/>
    <w:rsid w:val="05EC4C98"/>
    <w:rsid w:val="0750083F"/>
    <w:rsid w:val="08B42E5C"/>
    <w:rsid w:val="0A1E7B00"/>
    <w:rsid w:val="0C37784A"/>
    <w:rsid w:val="0E4E059D"/>
    <w:rsid w:val="138C62D6"/>
    <w:rsid w:val="179312B5"/>
    <w:rsid w:val="17C362BB"/>
    <w:rsid w:val="17DF652D"/>
    <w:rsid w:val="191812D2"/>
    <w:rsid w:val="1DAC6991"/>
    <w:rsid w:val="1DD62705"/>
    <w:rsid w:val="1E3D5F85"/>
    <w:rsid w:val="1F7C23DB"/>
    <w:rsid w:val="22B32213"/>
    <w:rsid w:val="26927C2D"/>
    <w:rsid w:val="26D745D3"/>
    <w:rsid w:val="27EF7FCC"/>
    <w:rsid w:val="28C80D39"/>
    <w:rsid w:val="29FC6FEA"/>
    <w:rsid w:val="2CE95713"/>
    <w:rsid w:val="2CF3A8A3"/>
    <w:rsid w:val="2D401121"/>
    <w:rsid w:val="2EFD58E9"/>
    <w:rsid w:val="2FE11265"/>
    <w:rsid w:val="308161D7"/>
    <w:rsid w:val="31DD245C"/>
    <w:rsid w:val="32990993"/>
    <w:rsid w:val="340D0B90"/>
    <w:rsid w:val="35F32BFE"/>
    <w:rsid w:val="362F536F"/>
    <w:rsid w:val="366F3FA7"/>
    <w:rsid w:val="376100BD"/>
    <w:rsid w:val="3B032DFB"/>
    <w:rsid w:val="3C81239C"/>
    <w:rsid w:val="3E7E742A"/>
    <w:rsid w:val="3F8475E0"/>
    <w:rsid w:val="465B4570"/>
    <w:rsid w:val="482F6769"/>
    <w:rsid w:val="498418D4"/>
    <w:rsid w:val="49B65A55"/>
    <w:rsid w:val="49C451A4"/>
    <w:rsid w:val="4A6142D6"/>
    <w:rsid w:val="4A885A72"/>
    <w:rsid w:val="4B236852"/>
    <w:rsid w:val="4C1330C3"/>
    <w:rsid w:val="4CFC31A3"/>
    <w:rsid w:val="4FB532ED"/>
    <w:rsid w:val="50437938"/>
    <w:rsid w:val="505B7875"/>
    <w:rsid w:val="536E10B7"/>
    <w:rsid w:val="53B01348"/>
    <w:rsid w:val="552178C6"/>
    <w:rsid w:val="560A6A15"/>
    <w:rsid w:val="5697708C"/>
    <w:rsid w:val="59F537DF"/>
    <w:rsid w:val="5AD60435"/>
    <w:rsid w:val="5B2C0DFF"/>
    <w:rsid w:val="5BF846A7"/>
    <w:rsid w:val="5C2B1C86"/>
    <w:rsid w:val="5E9A27D9"/>
    <w:rsid w:val="5F29504E"/>
    <w:rsid w:val="60D32FFD"/>
    <w:rsid w:val="60D554B1"/>
    <w:rsid w:val="634C6AB0"/>
    <w:rsid w:val="6429195A"/>
    <w:rsid w:val="643C0713"/>
    <w:rsid w:val="65032531"/>
    <w:rsid w:val="6AB46A9C"/>
    <w:rsid w:val="6B41634E"/>
    <w:rsid w:val="6DAF5734"/>
    <w:rsid w:val="6FD36B1B"/>
    <w:rsid w:val="705513AD"/>
    <w:rsid w:val="71C33C7B"/>
    <w:rsid w:val="72FD7B88"/>
    <w:rsid w:val="732D23D5"/>
    <w:rsid w:val="7B3C5573"/>
    <w:rsid w:val="7E3F7C32"/>
    <w:rsid w:val="7FF1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77E137-1C38-4B4A-B22E-3F20EA09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pPr>
      <w:snapToGrid w:val="0"/>
      <w:jc w:val="left"/>
    </w:pPr>
    <w:rPr>
      <w:sz w:val="18"/>
    </w:rPr>
  </w:style>
  <w:style w:type="paragraph" w:styleId="a4">
    <w:name w:val="annotation text"/>
    <w:basedOn w:val="a"/>
    <w:link w:val="a5"/>
    <w:pPr>
      <w:jc w:val="left"/>
    </w:pPr>
  </w:style>
  <w:style w:type="paragraph" w:styleId="a6">
    <w:name w:val="Balloon Text"/>
    <w:basedOn w:val="a"/>
    <w:link w:val="a7"/>
    <w:rPr>
      <w:sz w:val="18"/>
      <w:szCs w:val="18"/>
    </w:rPr>
  </w:style>
  <w:style w:type="paragraph" w:styleId="a8">
    <w:name w:val="footer"/>
    <w:basedOn w:val="a"/>
    <w:link w:val="a9"/>
    <w:pPr>
      <w:tabs>
        <w:tab w:val="center" w:pos="4153"/>
        <w:tab w:val="right" w:pos="8306"/>
      </w:tabs>
      <w:snapToGrid w:val="0"/>
      <w:jc w:val="left"/>
    </w:pPr>
    <w:rPr>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unhideWhenUsed/>
    <w:rPr>
      <w:b/>
      <w:bCs/>
    </w:r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uiPriority w:val="99"/>
    <w:unhideWhenUsed/>
    <w:rPr>
      <w:sz w:val="21"/>
      <w:szCs w:val="21"/>
    </w:rPr>
  </w:style>
  <w:style w:type="character" w:styleId="af1">
    <w:name w:val="footnote reference"/>
    <w:rPr>
      <w:vertAlign w:val="superscript"/>
    </w:rPr>
  </w:style>
  <w:style w:type="character" w:customStyle="1" w:styleId="a5">
    <w:name w:val="批注文字 字符"/>
    <w:link w:val="a4"/>
    <w:rPr>
      <w:kern w:val="2"/>
      <w:sz w:val="21"/>
      <w:szCs w:val="22"/>
    </w:rPr>
  </w:style>
  <w:style w:type="character" w:customStyle="1" w:styleId="a7">
    <w:name w:val="批注框文本 字符"/>
    <w:link w:val="a6"/>
    <w:rPr>
      <w:kern w:val="2"/>
      <w:sz w:val="18"/>
      <w:szCs w:val="18"/>
    </w:rPr>
  </w:style>
  <w:style w:type="character" w:customStyle="1" w:styleId="a9">
    <w:name w:val="页脚 字符"/>
    <w:link w:val="a8"/>
    <w:rPr>
      <w:kern w:val="2"/>
      <w:sz w:val="18"/>
      <w:szCs w:val="18"/>
    </w:rPr>
  </w:style>
  <w:style w:type="character" w:customStyle="1" w:styleId="ab">
    <w:name w:val="页眉 字符"/>
    <w:link w:val="aa"/>
    <w:rPr>
      <w:kern w:val="2"/>
      <w:sz w:val="18"/>
      <w:szCs w:val="18"/>
    </w:rPr>
  </w:style>
  <w:style w:type="character" w:customStyle="1" w:styleId="ad">
    <w:name w:val="批注主题 字符"/>
    <w:link w:val="ac"/>
    <w:uiPriority w:val="99"/>
    <w:semiHidden/>
    <w:rPr>
      <w:b/>
      <w:bCs/>
      <w:kern w:val="2"/>
      <w:sz w:val="21"/>
      <w:szCs w:val="22"/>
    </w:rPr>
  </w:style>
  <w:style w:type="character" w:customStyle="1" w:styleId="font41">
    <w:name w:val="font41"/>
    <w:rPr>
      <w:rFonts w:ascii="宋体" w:eastAsia="宋体" w:hAnsi="宋体" w:cs="宋体" w:hint="eastAsia"/>
      <w:color w:val="000000"/>
      <w:sz w:val="24"/>
      <w:szCs w:val="24"/>
      <w:u w:val="none"/>
    </w:rPr>
  </w:style>
  <w:style w:type="character" w:customStyle="1" w:styleId="font51">
    <w:name w:val="font51"/>
    <w:rPr>
      <w:rFonts w:ascii="宋体" w:eastAsia="宋体" w:hAnsi="宋体" w:cs="宋体" w:hint="eastAsia"/>
      <w:color w:val="000000"/>
      <w:sz w:val="24"/>
      <w:szCs w:val="24"/>
      <w:u w:val="none"/>
    </w:rPr>
  </w:style>
  <w:style w:type="character" w:customStyle="1" w:styleId="font21">
    <w:name w:val="font21"/>
    <w:rPr>
      <w:rFonts w:ascii="宋体" w:eastAsia="宋体" w:hAnsi="宋体" w:cs="宋体" w:hint="eastAsia"/>
      <w:color w:val="000000"/>
      <w:sz w:val="22"/>
      <w:szCs w:val="22"/>
      <w:u w:val="none"/>
    </w:rPr>
  </w:style>
  <w:style w:type="character" w:customStyle="1" w:styleId="font01">
    <w:name w:val="font01"/>
    <w:rPr>
      <w:rFonts w:ascii="宋体" w:eastAsia="宋体" w:hAnsi="宋体" w:cs="宋体" w:hint="eastAsia"/>
      <w:color w:val="000000"/>
      <w:sz w:val="22"/>
      <w:szCs w:val="22"/>
      <w:u w:val="none"/>
    </w:rPr>
  </w:style>
  <w:style w:type="character" w:customStyle="1" w:styleId="font11">
    <w:name w:val="font11"/>
    <w:rPr>
      <w:rFonts w:ascii="宋体" w:eastAsia="宋体" w:hAnsi="宋体" w:cs="宋体" w:hint="eastAsia"/>
      <w:color w:val="000000"/>
      <w:sz w:val="20"/>
      <w:szCs w:val="20"/>
      <w:u w:val="none"/>
    </w:rPr>
  </w:style>
  <w:style w:type="paragraph" w:styleId="af2">
    <w:name w:val="List Paragraph"/>
    <w:basedOn w:val="a"/>
    <w:uiPriority w:val="34"/>
    <w:qFormat/>
    <w:pPr>
      <w:ind w:firstLineChars="200" w:firstLine="420"/>
    </w:pPr>
  </w:style>
  <w:style w:type="paragraph" w:customStyle="1" w:styleId="10">
    <w:name w:val="标题1"/>
    <w:basedOn w:val="1"/>
    <w:pPr>
      <w:spacing w:before="0" w:after="0" w:line="240" w:lineRule="auto"/>
      <w:jc w:val="center"/>
    </w:pPr>
    <w:rPr>
      <w:rFonts w:ascii="华文中宋" w:eastAsia="华文中宋" w:hAnsi="华文中宋"/>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2544</Words>
  <Characters>14502</Characters>
  <Application>Microsoft Office Word</Application>
  <DocSecurity>0</DocSecurity>
  <Lines>120</Lines>
  <Paragraphs>34</Paragraphs>
  <ScaleCrop>false</ScaleCrop>
  <Company>MS User</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dc:title>
  <dc:creator>管理者</dc:creator>
  <cp:lastModifiedBy>陈卫哲</cp:lastModifiedBy>
  <cp:revision>2</cp:revision>
  <cp:lastPrinted>2018-07-25T02:50:00Z</cp:lastPrinted>
  <dcterms:created xsi:type="dcterms:W3CDTF">2022-09-02T08:42:00Z</dcterms:created>
  <dcterms:modified xsi:type="dcterms:W3CDTF">2022-09-02T08:42:00Z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6C771C40FB8E49D99E3920F848C8DCDE</vt:lpwstr>
  </property>
</Properties>
</file>